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BD2" w:rsidRDefault="00920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F91BD2" w:rsidRDefault="00920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PRIMORSKO GORANSKA ŽUPANIJA  </w:t>
      </w:r>
    </w:p>
    <w:p w:rsidR="00F91BD2" w:rsidRDefault="00920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OMIŠALJ</w:t>
      </w:r>
    </w:p>
    <w:p w:rsidR="00F91BD2" w:rsidRDefault="00920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91BD2" w:rsidRDefault="00F91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FINANCIJSKI PLAN </w:t>
      </w:r>
    </w:p>
    <w:p w:rsidR="00F91BD2" w:rsidRDefault="00920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 202</w:t>
      </w:r>
      <w:r w:rsidR="00AB65F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F91BD2" w:rsidRDefault="00920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 PROCJENA  ZA 202</w:t>
      </w:r>
      <w:r w:rsidR="00AB65F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I  202</w:t>
      </w:r>
      <w:r w:rsidR="00AB65F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 GODINU</w:t>
      </w: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Omišalj,  </w:t>
      </w:r>
      <w:r w:rsidR="00AB65FA">
        <w:rPr>
          <w:rFonts w:ascii="Times New Roman" w:hAnsi="Times New Roman" w:cs="Times New Roman"/>
          <w:sz w:val="24"/>
          <w:szCs w:val="24"/>
        </w:rPr>
        <w:t>listopad 2025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F91BD2" w:rsidRDefault="00920C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UVOD</w:t>
      </w:r>
    </w:p>
    <w:p w:rsidR="00F91BD2" w:rsidRDefault="00920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Na osnovu Zakona o proračunu (Narodne novine 144/21), Škola  je dužna izraditi Financijski plan za 202</w:t>
      </w:r>
      <w:r w:rsidR="00AB65FA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 godinu, te projekcije  Financijskog plana za sljedeće dvije proračunske godine.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F91BD2" w:rsidRDefault="00920CEF">
      <w:pPr>
        <w:pStyle w:val="Tijeloteksta"/>
        <w:spacing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Škola čiji je osnivač Primorsko-goranska županija obvezna je pridržavati se Uputa Upravnog odjela za odgoj i obrazovanje (koje proizlaze iz Uputa UO za proračun, financije i nabavu PGŽ-a i Uputa ministarstva financija). </w:t>
      </w:r>
    </w:p>
    <w:p w:rsidR="00F91BD2" w:rsidRDefault="00920CEF">
      <w:pPr>
        <w:pStyle w:val="Tijeloteksta"/>
        <w:spacing w:line="36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 sastavljanju financijskog plana obavezno je pridržavati se zakonom propisane metodologije.</w:t>
      </w:r>
    </w:p>
    <w:p w:rsidR="00F91BD2" w:rsidRDefault="00920CEF">
      <w:pPr>
        <w:pStyle w:val="Tijeloteksta"/>
        <w:spacing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Financijski plan škole treba biti uravnotežen. Prilikom planiranja prihoda i rashoda  važno je voditi računa da ukupna visina planiranog prihoda po pojedinom izvoru financiranja mora odgovarati planiranoj visini rashoda po tom istom izvoru financiranja. </w:t>
      </w:r>
    </w:p>
    <w:p w:rsidR="00F91BD2" w:rsidRDefault="00920CE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odgoj i obrazovanje izradio je Okvirni prijedlog opsega financijskog plana za svakog proračunskog korisnika koji se temelji na projekcijama za  202</w:t>
      </w:r>
      <w:r w:rsidR="00AB65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AB65F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godinu koje su korigirane prema procjenama stvarnih potreba škola tijekom 202</w:t>
      </w:r>
      <w:r w:rsidR="00AB65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i to posebno:</w:t>
      </w:r>
    </w:p>
    <w:p w:rsidR="00F91BD2" w:rsidRDefault="00920CE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dijelu decentraliziranih funkcija </w:t>
      </w:r>
    </w:p>
    <w:p w:rsidR="00F91BD2" w:rsidRDefault="00920CE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dijelu provedbe programa iznad zakonskog standarda koji se financiraju iz vlastitih županijskih prihoda (izvor 111 opći prihodi i primitci).</w:t>
      </w:r>
    </w:p>
    <w:p w:rsidR="00F91BD2" w:rsidRDefault="00920CEF">
      <w:pPr>
        <w:pStyle w:val="Tijelotek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 za 202</w:t>
      </w:r>
      <w:r w:rsidR="00AB65F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 izračunat je na temelju projekcija za 202</w:t>
      </w:r>
      <w:r w:rsidR="00AB65F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F91BD2" w:rsidRDefault="00920CE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i financijski rashodi koji se financiraju iz proračuna Primorsko-goranske županije za decentralizirane funkcije školske ustanove planirani su do razine sredstava iskazanih u O</w:t>
      </w:r>
      <w:r>
        <w:rPr>
          <w:rFonts w:ascii="Times New Roman" w:hAnsi="Times New Roman" w:cs="Times New Roman"/>
          <w:bCs/>
          <w:sz w:val="24"/>
          <w:szCs w:val="24"/>
        </w:rPr>
        <w:t>kvirnom prijedlogu opsega financijskih planova ustanova osnovnog i srednjeg školstva Primorsko-goranske županije za 202</w:t>
      </w:r>
      <w:r w:rsidR="00AB65F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.-202</w:t>
      </w:r>
      <w:r w:rsidR="00AB65FA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 godinu.</w:t>
      </w:r>
    </w:p>
    <w:p w:rsidR="00F91BD2" w:rsidRDefault="00920C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izrade prijedloga Financijskog plana utvrđene su potrebe za dodatnim sredstvima neophodnim za obavljanje redovitog plana i programa škole u dijelu decentraliziranih funkcija.</w:t>
      </w:r>
    </w:p>
    <w:p w:rsidR="00F91BD2" w:rsidRDefault="00920C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Upravnom odjelu za odgoj i obrazovanje škola je uputila  pisani zahtjev s detaljnim obrazloženjem i izračunom potrebnih sredstava, isti</w:t>
      </w:r>
      <w:r w:rsidR="00AB65FA">
        <w:rPr>
          <w:rFonts w:ascii="Times New Roman" w:hAnsi="Times New Roman" w:cs="Times New Roman"/>
          <w:sz w:val="24"/>
          <w:szCs w:val="24"/>
        </w:rPr>
        <w:t xml:space="preserve"> još uvijek nije</w:t>
      </w:r>
      <w:r>
        <w:rPr>
          <w:rFonts w:ascii="Times New Roman" w:hAnsi="Times New Roman" w:cs="Times New Roman"/>
          <w:sz w:val="24"/>
          <w:szCs w:val="24"/>
        </w:rPr>
        <w:t xml:space="preserve"> dodijeljen i raspoređen u ovom Financijskom planu.         </w:t>
      </w:r>
    </w:p>
    <w:p w:rsidR="00F91BD2" w:rsidRDefault="00920CEF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Na temelju financijskog  plana, omogućava se financiranje  programa rada Škole. </w:t>
      </w:r>
    </w:p>
    <w:p w:rsidR="00F91BD2" w:rsidRDefault="00F91BD2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pStyle w:val="Odlomakpopisa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SADRŽAJ  I  OBUHVAT  ISKAZIVANJA  PODATAKA </w:t>
      </w:r>
    </w:p>
    <w:p w:rsidR="00F91BD2" w:rsidRDefault="00920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Financijski  plana za 202</w:t>
      </w:r>
      <w:r w:rsidR="00AB65F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 s projekcijama za 202</w:t>
      </w:r>
      <w:r w:rsidR="00AB65F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i 202</w:t>
      </w:r>
      <w:r w:rsidR="00AB65F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godinu  obuhvaća: </w:t>
      </w:r>
    </w:p>
    <w:p w:rsidR="00F91BD2" w:rsidRDefault="00920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Opći dio Financijskog plana</w:t>
      </w:r>
    </w:p>
    <w:p w:rsidR="00F91BD2" w:rsidRDefault="00920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Posebni dio Financijskog plana</w:t>
      </w:r>
    </w:p>
    <w:p w:rsidR="00F91BD2" w:rsidRDefault="00920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Obrazloženje Financijskog plana </w:t>
      </w:r>
    </w:p>
    <w:p w:rsidR="00F91BD2" w:rsidRDefault="00F91B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 DIO</w:t>
      </w:r>
    </w:p>
    <w:p w:rsidR="00F91BD2" w:rsidRDefault="00920CE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Osnovne škole Omišalj sastoji se od:</w:t>
      </w:r>
    </w:p>
    <w:p w:rsidR="00F91BD2" w:rsidRDefault="00920CEF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Sažetak Općeg dijela</w:t>
      </w:r>
    </w:p>
    <w:p w:rsidR="00F91BD2" w:rsidRDefault="00920CEF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A. Račun prihoda i rashoda  </w:t>
      </w:r>
    </w:p>
    <w:p w:rsidR="00F91BD2" w:rsidRDefault="00920CEF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Prihodi i rashodi prema izvorima financiranja i ekonomskoj klasifikaciji</w:t>
      </w:r>
    </w:p>
    <w:p w:rsidR="00F91BD2" w:rsidRDefault="00920C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 Rashodi prema funkcijskoj klasifikaciji               </w:t>
      </w:r>
    </w:p>
    <w:p w:rsidR="00F91BD2" w:rsidRDefault="00920CEF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POSEBNI DIO</w:t>
      </w:r>
    </w:p>
    <w:p w:rsidR="00F91BD2" w:rsidRDefault="00920CE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plana Osnovne škole Omišalj sastoji se od:</w:t>
      </w:r>
    </w:p>
    <w:p w:rsidR="00F91BD2" w:rsidRDefault="00920CEF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 prema programskoj klasifikaciji </w:t>
      </w:r>
    </w:p>
    <w:p w:rsidR="00F91BD2" w:rsidRDefault="00920CE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(iskazani po organizacijskoj klasifikaciji, izvorima financiranja i ekonomskoj klasifikaciji, raspoređenim u programe koji se sastoje od aktivnosti i projekata).</w:t>
      </w:r>
    </w:p>
    <w:p w:rsidR="00F91BD2" w:rsidRDefault="00920CEF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OBRAZLOŽENJE</w:t>
      </w:r>
    </w:p>
    <w:p w:rsidR="00F91BD2" w:rsidRDefault="00920CE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financijskog plana sastoji se od:</w:t>
      </w:r>
    </w:p>
    <w:p w:rsidR="00F91BD2" w:rsidRDefault="00920CEF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 općeg dijela  financijskog plana</w:t>
      </w:r>
    </w:p>
    <w:p w:rsidR="00F91BD2" w:rsidRDefault="00920CEF">
      <w:pPr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obrazloženje sažetka prihoda i rashoda financijskog plana</w:t>
      </w:r>
    </w:p>
    <w:p w:rsidR="00F91BD2" w:rsidRDefault="00920CEF">
      <w:pPr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prikaz prenesenih viškova ili manjkova iz prethodne godine.</w:t>
      </w:r>
    </w:p>
    <w:p w:rsidR="00F91BD2" w:rsidRDefault="00920CEF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Obrazloženje posebnog dijela financijskog plana. </w:t>
      </w:r>
    </w:p>
    <w:p w:rsidR="00F91BD2" w:rsidRDefault="00920CEF">
      <w:pPr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obrazloženje posebnog dijela sastoji se od programa, aktivnosti i projekata     </w:t>
      </w:r>
    </w:p>
    <w:p w:rsidR="00F91BD2" w:rsidRDefault="00920C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sa ciljevima i pokazateljima uspješnosti. Zakonskim osnovama za </w:t>
      </w:r>
    </w:p>
    <w:p w:rsidR="00F91BD2" w:rsidRDefault="00920C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uvođenje programa, te izračunu  sredstava za realizaciju istih.</w:t>
      </w:r>
    </w:p>
    <w:p w:rsidR="00F91BD2" w:rsidRDefault="00F91B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PRILOŽENE TABLICE:</w:t>
      </w:r>
    </w:p>
    <w:p w:rsidR="00F91BD2" w:rsidRDefault="00920C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Opći dio    (Sažetak računa prihoda i rashoda i preneseni viškovi)</w:t>
      </w:r>
    </w:p>
    <w:p w:rsidR="00F91BD2" w:rsidRDefault="00920C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Prihodi i rashodi prema ekonomskoj klasifikaciji</w:t>
      </w:r>
    </w:p>
    <w:p w:rsidR="00F91BD2" w:rsidRDefault="00920C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Prihodi i rashodi  prema izvorima financiranja i ekonomskog klasifikaciji </w:t>
      </w:r>
    </w:p>
    <w:p w:rsidR="00F91BD2" w:rsidRDefault="00920C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Rashodi prema funkcijskoj klasifikaciji</w:t>
      </w:r>
    </w:p>
    <w:p w:rsidR="00F91BD2" w:rsidRDefault="00920C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Rashodi prema programskoj klasifikaciji</w:t>
      </w:r>
    </w:p>
    <w:p w:rsidR="00F91BD2" w:rsidRDefault="00F91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NAZIV KORISNIKA: </w:t>
      </w:r>
      <w:r>
        <w:rPr>
          <w:rFonts w:ascii="Times New Roman" w:hAnsi="Times New Roman" w:cs="Times New Roman"/>
          <w:b/>
          <w:sz w:val="28"/>
          <w:szCs w:val="28"/>
        </w:rPr>
        <w:tab/>
        <w:t>Osnovna škola Omišalj</w:t>
      </w:r>
    </w:p>
    <w:p w:rsidR="00F91BD2" w:rsidRDefault="00920CEF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Baječ 8, 51513 Omišalj </w:t>
      </w: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OBRAZLOŽENJE FINANCIJSKOG PLANA ZA 202</w:t>
      </w:r>
      <w:r w:rsidR="00AB65FA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 GODINU TE PROJEKCIJE ZA 202</w:t>
      </w:r>
      <w:r w:rsidR="00AB65FA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 i 202</w:t>
      </w:r>
      <w:r w:rsidR="00AB65FA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 GODINU</w:t>
      </w:r>
    </w:p>
    <w:p w:rsidR="00F91BD2" w:rsidRDefault="00F91B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1BD2" w:rsidRDefault="00920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Obrazloženje općeg dijela Financijskog plana za 202</w:t>
      </w:r>
      <w:r w:rsidR="00AB65F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godinu i projekcija za 202</w:t>
      </w:r>
      <w:r w:rsidR="00AB65F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 i 202</w:t>
      </w:r>
      <w:r w:rsidR="00AB65F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F91BD2" w:rsidRDefault="00F91B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akt je Osnovne škole Omišalj kojim su utvrđeni njegovi prihodi i primici, te rashodi i izdaci u skladu s proračunskim klasifikacijama. Financijski se plan donosi i izvršava u skladu s načelima jedinstva i točnosti proračuna, načelu jedne godine, uravnoteženosti, univerzalnosti, specifikacije, dobrog financijskog upravljana i transparentnosti.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</w:t>
      </w:r>
      <w:r>
        <w:rPr>
          <w:rFonts w:ascii="Times New Roman" w:hAnsi="Times New Roman" w:cs="Times New Roman"/>
          <w:sz w:val="24"/>
          <w:szCs w:val="24"/>
        </w:rPr>
        <w:t>inancijsk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plana Osnovne škole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Omišalj</w:t>
      </w:r>
      <w:r>
        <w:rPr>
          <w:rFonts w:ascii="Times New Roman" w:hAnsi="Times New Roman" w:cs="Times New Roman"/>
          <w:sz w:val="24"/>
          <w:szCs w:val="24"/>
        </w:rPr>
        <w:t xml:space="preserve"> za razdoblje 202</w:t>
      </w:r>
      <w:r w:rsidR="00AB65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AB65F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godine izrađen je prema metodologiji propisanoj Zakonom o proračunu i podzakonskim aktima  (NN 144/2021) kojim se uređuju osnovni proračunski procesi i definiraju osnovne pretpostavke za izradu proračuna jedinica lokalne i regionalne samouprave i financijski planovi njihovih proračunskih korisnika.</w:t>
      </w:r>
    </w:p>
    <w:p w:rsidR="00F91BD2" w:rsidRDefault="00F91BD2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SimSun" w:hAnsi="Times New Roman" w:cs="Times New Roman"/>
          <w:sz w:val="24"/>
          <w:szCs w:val="24"/>
        </w:rPr>
        <w:t>Sukladno Zakonu, uobičajeni proračunski proces započinje već u travnju izradom Nacionalnog programa reformi i Programa konvergencije, koji obuhva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>ć</w:t>
      </w:r>
      <w:r>
        <w:rPr>
          <w:rFonts w:ascii="Times New Roman" w:eastAsia="SimSun" w:hAnsi="Times New Roman" w:cs="Times New Roman"/>
          <w:sz w:val="24"/>
          <w:szCs w:val="24"/>
        </w:rPr>
        <w:t>a okvir i ciljeve ekonomske politike, makroekonomska i fiskalna kretanja i ključne strukturne reforme za srednjoročno razdoblje. Na temelju Programa konvergencije Ministarstvo izrađuje odluku o proračunskom okviru za trogodišnje razdoblje koju Vlada usvaja najkasnije do 30. lipnja teku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>ć</w:t>
      </w:r>
      <w:r>
        <w:rPr>
          <w:rFonts w:ascii="Times New Roman" w:eastAsia="SimSun" w:hAnsi="Times New Roman" w:cs="Times New Roman"/>
          <w:sz w:val="24"/>
          <w:szCs w:val="24"/>
        </w:rPr>
        <w:t xml:space="preserve">e godine. Na temelju Programa konvergencije i odluke o proračunskom okviru Ministarstvo financija izrađuje i do 20. kolovoza dostavlja upute za izradu proračuna jedinica lokalne i područne (regionalne) samouprave. 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>O</w:t>
      </w:r>
      <w:r>
        <w:rPr>
          <w:rFonts w:ascii="Times New Roman" w:eastAsia="SimSun" w:hAnsi="Times New Roman" w:cs="Times New Roman"/>
          <w:sz w:val="24"/>
          <w:szCs w:val="24"/>
        </w:rPr>
        <w:t>vogodišnji proračunski proces</w:t>
      </w:r>
      <w:r w:rsidR="00AB65FA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vremenski odstupa od Zakonom utvrđenih rokova</w:t>
      </w:r>
      <w:r w:rsidR="00AB65FA">
        <w:rPr>
          <w:rFonts w:ascii="Times New Roman" w:eastAsia="SimSun" w:hAnsi="Times New Roman" w:cs="Times New Roman"/>
          <w:sz w:val="24"/>
          <w:szCs w:val="24"/>
        </w:rPr>
        <w:t>.</w:t>
      </w:r>
      <w:r>
        <w:rPr>
          <w:rFonts w:ascii="Times New Roman" w:eastAsia="SimSun" w:hAnsi="Times New Roman" w:cs="Times New Roman"/>
          <w:sz w:val="24"/>
          <w:szCs w:val="24"/>
        </w:rPr>
        <w:t xml:space="preserve"> Zbog navedenog, ove je godine proračunski proces u Primorsko-goranskoj Županiji započeo </w:t>
      </w:r>
      <w:r w:rsidR="00742D40">
        <w:rPr>
          <w:rFonts w:ascii="Times New Roman" w:eastAsia="SimSun" w:hAnsi="Times New Roman" w:cs="Times New Roman"/>
          <w:sz w:val="24"/>
          <w:szCs w:val="24"/>
        </w:rPr>
        <w:t>početkom listopada</w:t>
      </w:r>
      <w:r>
        <w:rPr>
          <w:rFonts w:ascii="Times New Roman" w:eastAsia="SimSun" w:hAnsi="Times New Roman" w:cs="Times New Roman"/>
          <w:sz w:val="24"/>
          <w:szCs w:val="24"/>
        </w:rPr>
        <w:t xml:space="preserve"> dopisom U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>O</w:t>
      </w:r>
      <w:r>
        <w:rPr>
          <w:rFonts w:ascii="Times New Roman" w:eastAsia="SimSun" w:hAnsi="Times New Roman" w:cs="Times New Roman"/>
          <w:sz w:val="24"/>
          <w:szCs w:val="24"/>
        </w:rPr>
        <w:t xml:space="preserve"> za proračun, financije i nabavu kojim su utvrđeni limiti po upravnim tijelima za trogodišnje razdoblje iz izvora 11 - op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>ć</w:t>
      </w:r>
      <w:r>
        <w:rPr>
          <w:rFonts w:ascii="Times New Roman" w:eastAsia="SimSun" w:hAnsi="Times New Roman" w:cs="Times New Roman"/>
          <w:sz w:val="24"/>
          <w:szCs w:val="24"/>
        </w:rPr>
        <w:t>i prihodi i primici te kojim je određen hodogram aktivnosti za sve sudionike izrade proračuna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>.</w:t>
      </w:r>
      <w:r>
        <w:rPr>
          <w:rFonts w:ascii="Times New Roman" w:eastAsia="SimSun" w:hAnsi="Times New Roman" w:cs="Times New Roman"/>
          <w:sz w:val="24"/>
          <w:szCs w:val="24"/>
        </w:rPr>
        <w:t xml:space="preserve"> Dostavom Uputa za izradu proračuna JLP( R)s od strane Ministarstva financija stečeni su uvjeti za izradu cjelovitih Uputa za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izradu Proračuna PGŽ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za razdoblje 202</w:t>
      </w:r>
      <w:r w:rsidR="00742D40">
        <w:rPr>
          <w:rFonts w:ascii="Times New Roman" w:eastAsia="SimSun" w:hAnsi="Times New Roman" w:cs="Times New Roman"/>
          <w:sz w:val="24"/>
          <w:szCs w:val="24"/>
        </w:rPr>
        <w:t>6</w:t>
      </w:r>
      <w:r>
        <w:rPr>
          <w:rFonts w:ascii="Times New Roman" w:eastAsia="SimSun" w:hAnsi="Times New Roman" w:cs="Times New Roman"/>
          <w:sz w:val="24"/>
          <w:szCs w:val="24"/>
        </w:rPr>
        <w:t xml:space="preserve">' 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202</w:t>
      </w:r>
      <w:r w:rsidR="00742D40">
        <w:rPr>
          <w:rFonts w:ascii="Times New Roman" w:eastAsia="SimSun" w:hAnsi="Times New Roman" w:cs="Times New Roman"/>
          <w:sz w:val="24"/>
          <w:szCs w:val="24"/>
        </w:rPr>
        <w:t>8</w:t>
      </w:r>
      <w:r>
        <w:rPr>
          <w:rFonts w:ascii="Times New Roman" w:eastAsia="SimSun" w:hAnsi="Times New Roman" w:cs="Times New Roman"/>
          <w:sz w:val="24"/>
          <w:szCs w:val="24"/>
        </w:rPr>
        <w:t>' godine sa svim, Zakonom utvrđeni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>m</w:t>
      </w:r>
      <w:r>
        <w:rPr>
          <w:rFonts w:ascii="Times New Roman" w:eastAsia="SimSun" w:hAnsi="Times New Roman" w:cs="Times New Roman"/>
          <w:sz w:val="24"/>
          <w:szCs w:val="24"/>
        </w:rPr>
        <w:t xml:space="preserve"> elementima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upravo po </w:t>
      </w:r>
      <w:r>
        <w:rPr>
          <w:rFonts w:ascii="Times New Roman" w:hAnsi="Times New Roman" w:cs="Times New Roman"/>
          <w:sz w:val="24"/>
          <w:szCs w:val="24"/>
          <w:lang w:val="en-GB"/>
        </w:rPr>
        <w:t>dobivenim uputama</w:t>
      </w:r>
      <w:r>
        <w:rPr>
          <w:rFonts w:ascii="Times New Roman" w:hAnsi="Times New Roman" w:cs="Times New Roman"/>
          <w:sz w:val="24"/>
          <w:szCs w:val="24"/>
        </w:rPr>
        <w:t xml:space="preserve"> odjel za financije Osnovne škole Omišalj sastavio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ovaj Financijski plan za 202</w:t>
      </w:r>
      <w:r w:rsidR="00742D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g. i projekcije za 202</w:t>
      </w:r>
      <w:r w:rsidR="00742D4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742D40">
        <w:rPr>
          <w:rFonts w:ascii="Times New Roman" w:hAnsi="Times New Roman" w:cs="Times New Roman"/>
          <w:sz w:val="24"/>
          <w:szCs w:val="24"/>
          <w:lang w:val="en-GB"/>
        </w:rPr>
        <w:t xml:space="preserve">8  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Osnovne škole Omišalj čine prihodi i primici, te rashodi i izdaci raspoređeni u programe koji se sastoje od aktivnosti i projekata, a iskazani su prema ekonomskoj i funkcijskoj klasifikaciji te izvorima financiranja. Obrazloženje financijskog plana sadrži obrazloženje općeg dijela financijskog plana po ekonomskoj klasifikaciji i izvorima financiranja. Opći dio financijskog plana sastoji se od Računa prihoda i rashoda i Računa financiranja.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DD0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353175" cy="1485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Tablica 1. Račun prihoda i rashoda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1.Račun prihoda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Ukupni prihodi planirani za 202</w:t>
      </w:r>
      <w:r w:rsidR="00CB36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</w:t>
      </w:r>
      <w:r w:rsidR="00DD0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321.306,32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Eur.</w:t>
      </w: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Tekuće pomoći unutar općeg proračuna najvećim se dijelom odnose na pomoći od MZO za financiranje rashoda za zaposlene koji se isplaćuju iz državnog proračuna i naknadu za nezapošljavanje invalida, te na pomoći iz MZO za nabavu knjiga za knjižnicu i udžbenika za učenike. Dio prihoda iz nenadležnog proračuna odnosi se na pomoći koju dobijemo od Općine Omišalj i Općine Dobrinj za financiranje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učiteljica u produženom boravku, , logopeda i psihologa, voditelj PŠ Dobrinj, kuharice u produženom boravku,</w:t>
      </w:r>
      <w:r>
        <w:rPr>
          <w:rFonts w:ascii="Times New Roman" w:hAnsi="Times New Roman" w:cs="Times New Roman"/>
          <w:sz w:val="24"/>
          <w:szCs w:val="24"/>
        </w:rPr>
        <w:t xml:space="preserve"> ŠŠK, male knjižničare i ostale programe kao i natjecanja, te nabavu knjiga za knjižnicu, financiranje završnih izleta. Prihodi iz nadležnog proračuna za pomoćnike u nastavi ,Školu plivanja, Školski kurikulum dolaze iz više izvora kroz pomoći iz državnog proračuna, poreze i ostale prihode.  Prihodi po posebnim propisima odnose se na prihode dobivene od roditelja za sufinanciranje prehrane u produženom boravak, prihod od Centra za odgoj i obrazovanje koji podmiruje troškove prehranu učenika u posebnom razrednom odjeljenju u Dobrinju. Vlastiti prihodi odnose se na najam školskog prostora (dvorane).</w:t>
      </w:r>
    </w:p>
    <w:p w:rsidR="00DD049D" w:rsidRDefault="00DD04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49D" w:rsidRDefault="00DD04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49D" w:rsidRDefault="00DD04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49D" w:rsidRDefault="00DD04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Tablica 2. Račun prihoda</w:t>
      </w: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DD04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120765" cy="230949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2.Račun rashoda</w:t>
      </w: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Rashodi poslovanja za 202</w:t>
      </w:r>
      <w:r w:rsidR="00AC08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planirani su u iznosu od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</w:t>
      </w:r>
      <w:r w:rsidR="00AC0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322.906,32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Eur.</w:t>
      </w:r>
    </w:p>
    <w:p w:rsidR="00F91BD2" w:rsidRDefault="00920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odnose se na bruto plaće zaposlenika, učitelja u produženom boravku i pomoćnika u nastavi, te na ostale rashode za zaposlene i doprinose na plaću. </w:t>
      </w:r>
    </w:p>
    <w:p w:rsidR="00F91BD2" w:rsidRDefault="00920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obuhvaćaju rashode za potrebe redovnog poslovanja (nabava uredskog materijala, službena putovanja, stručno usavršavanje zaposlenika, energiju, materijal, sitni inventar, materijale i dijelove za tekuće i investicijsko održavanje, usluge tekućeg održavanja, rashode za usluge telefona, pošte i prijevoza, zdravstvene usluge, računalna usluge i ostale usluge, intelektualna usluge, premije osiguranja, energije, članarine, namirnice za pripremu obroka, higijenske potrepštine... </w:t>
      </w:r>
    </w:p>
    <w:p w:rsidR="00F91BD2" w:rsidRDefault="00920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odnose se na usluge platnog prometa i zatezne kamate. </w:t>
      </w:r>
    </w:p>
    <w:p w:rsidR="00F91BD2" w:rsidRDefault="00920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građanima iz proračuna u naravi odnose se na nabavu udžbenika radnog karaktera učenicima koju financira MZO isto kao i radne bilježnice koje financiraju Općine Omišalj i Dobrinj.</w:t>
      </w: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nefinancijske imovine planirani za 202</w:t>
      </w:r>
      <w:r w:rsidR="00AC08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AC083F">
        <w:rPr>
          <w:rFonts w:ascii="Times New Roman" w:hAnsi="Times New Roman" w:cs="Times New Roman"/>
          <w:sz w:val="24"/>
          <w:szCs w:val="24"/>
          <w:lang w:val="en-GB"/>
        </w:rPr>
        <w:t>16.430,00</w:t>
      </w:r>
      <w:r>
        <w:rPr>
          <w:rFonts w:ascii="Times New Roman" w:hAnsi="Times New Roman" w:cs="Times New Roman"/>
          <w:sz w:val="24"/>
          <w:szCs w:val="24"/>
        </w:rPr>
        <w:t xml:space="preserve"> Eur i odnose se na nabavu </w:t>
      </w:r>
      <w:r>
        <w:rPr>
          <w:rFonts w:ascii="Times New Roman" w:hAnsi="Times New Roman" w:cs="Times New Roman"/>
          <w:sz w:val="24"/>
          <w:szCs w:val="24"/>
          <w:lang w:val="en-GB"/>
        </w:rPr>
        <w:t>udžbenike</w:t>
      </w:r>
      <w:r>
        <w:rPr>
          <w:rFonts w:ascii="Times New Roman" w:hAnsi="Times New Roman" w:cs="Times New Roman"/>
          <w:sz w:val="24"/>
          <w:szCs w:val="24"/>
        </w:rPr>
        <w:t xml:space="preserve"> te za nabavu knjiga za knjižnicu.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višak iz prethodne godine iznosi </w:t>
      </w:r>
      <w:r w:rsidR="00AC083F">
        <w:rPr>
          <w:rFonts w:ascii="Times New Roman" w:hAnsi="Times New Roman" w:cs="Times New Roman"/>
          <w:sz w:val="24"/>
          <w:szCs w:val="24"/>
        </w:rPr>
        <w:t>1.600,00</w:t>
      </w:r>
      <w:r>
        <w:rPr>
          <w:rFonts w:ascii="Times New Roman" w:hAnsi="Times New Roman" w:cs="Times New Roman"/>
          <w:sz w:val="24"/>
          <w:szCs w:val="24"/>
        </w:rPr>
        <w:t xml:space="preserve"> Eur i potpuno se planira rasporediti u 202</w:t>
      </w:r>
      <w:r w:rsidR="00AC08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83F" w:rsidRDefault="00AC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83F" w:rsidRDefault="00AC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Tablica 3. Račun rashoda</w:t>
      </w:r>
    </w:p>
    <w:p w:rsidR="00F91BD2" w:rsidRDefault="00AC08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6257925" cy="23431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3F" w:rsidRDefault="00AC08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083F" w:rsidRDefault="00AC08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1BD2" w:rsidRDefault="00920C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3.Račun financiranja </w:t>
      </w: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računu financiranja nisu planirani primici od financijske imovine i zaduživanja, te izdaci za financijsku imovinu i za otplatu kredita i zajmova.</w:t>
      </w: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FINANCIJSKI PLAN ZA 202</w:t>
      </w:r>
      <w:r w:rsidR="00AC083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.-202</w:t>
      </w:r>
      <w:r w:rsidR="00AC083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GODINU:</w:t>
      </w: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2"/>
        <w:gridCol w:w="3799"/>
        <w:gridCol w:w="1683"/>
        <w:gridCol w:w="1683"/>
        <w:gridCol w:w="1652"/>
      </w:tblGrid>
      <w:tr w:rsidR="00F91BD2">
        <w:tc>
          <w:tcPr>
            <w:tcW w:w="812" w:type="dxa"/>
          </w:tcPr>
          <w:p w:rsidR="00F91BD2" w:rsidRDefault="00920C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799" w:type="dxa"/>
          </w:tcPr>
          <w:p w:rsidR="00F91BD2" w:rsidRDefault="00920C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683" w:type="dxa"/>
          </w:tcPr>
          <w:p w:rsidR="00F91BD2" w:rsidRDefault="00920C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C08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F91BD2" w:rsidRDefault="00920C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C08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 w:rsidR="00F91BD2" w:rsidRDefault="00920C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C08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91BD2">
        <w:tc>
          <w:tcPr>
            <w:tcW w:w="812" w:type="dxa"/>
          </w:tcPr>
          <w:p w:rsidR="00F91BD2" w:rsidRDefault="00920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9" w:type="dxa"/>
          </w:tcPr>
          <w:p w:rsidR="00F91BD2" w:rsidRDefault="00920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5301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Osnovnoškolsko obrazovanje</w:t>
            </w:r>
          </w:p>
        </w:tc>
        <w:tc>
          <w:tcPr>
            <w:tcW w:w="1683" w:type="dxa"/>
          </w:tcPr>
          <w:p w:rsidR="00F91BD2" w:rsidRDefault="00506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67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2.195.305,00</w:t>
            </w:r>
          </w:p>
        </w:tc>
        <w:tc>
          <w:tcPr>
            <w:tcW w:w="1683" w:type="dxa"/>
          </w:tcPr>
          <w:p w:rsidR="00F91BD2" w:rsidRDefault="00506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67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2.194.205,00</w:t>
            </w:r>
          </w:p>
        </w:tc>
        <w:tc>
          <w:tcPr>
            <w:tcW w:w="1652" w:type="dxa"/>
          </w:tcPr>
          <w:p w:rsidR="00F91BD2" w:rsidRDefault="00506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67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2.194.205,00</w:t>
            </w:r>
          </w:p>
        </w:tc>
      </w:tr>
      <w:tr w:rsidR="00F91BD2">
        <w:tc>
          <w:tcPr>
            <w:tcW w:w="812" w:type="dxa"/>
          </w:tcPr>
          <w:p w:rsidR="00F91BD2" w:rsidRDefault="00920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9" w:type="dxa"/>
            <w:shd w:val="clear" w:color="auto" w:fill="auto"/>
          </w:tcPr>
          <w:p w:rsidR="00F91BD2" w:rsidRDefault="00920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Unaprjeđenje kvalitete odgojno obrazovnog sustava</w:t>
            </w:r>
          </w:p>
        </w:tc>
        <w:tc>
          <w:tcPr>
            <w:tcW w:w="1683" w:type="dxa"/>
            <w:shd w:val="clear" w:color="auto" w:fill="auto"/>
          </w:tcPr>
          <w:p w:rsidR="00F91BD2" w:rsidRDefault="00506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67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125.101,32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91BD2" w:rsidRDefault="005067C6">
            <w:pPr>
              <w:spacing w:line="720" w:lineRule="auto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5067C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124.601,32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91BD2" w:rsidRDefault="005067C6">
            <w:pPr>
              <w:spacing w:line="720" w:lineRule="auto"/>
              <w:ind w:firstLineChars="100" w:firstLine="240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5067C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124.601,32</w:t>
            </w:r>
          </w:p>
        </w:tc>
      </w:tr>
      <w:tr w:rsidR="00F91BD2">
        <w:tc>
          <w:tcPr>
            <w:tcW w:w="812" w:type="dxa"/>
          </w:tcPr>
          <w:p w:rsidR="00F91BD2" w:rsidRDefault="00920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9" w:type="dxa"/>
            <w:shd w:val="clear" w:color="auto" w:fill="auto"/>
          </w:tcPr>
          <w:p w:rsidR="00F91BD2" w:rsidRDefault="00920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5308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Kapitalna ulaganja u odgojno obrazovnu infrastrukturu</w:t>
            </w:r>
          </w:p>
        </w:tc>
        <w:tc>
          <w:tcPr>
            <w:tcW w:w="1683" w:type="dxa"/>
            <w:shd w:val="clear" w:color="auto" w:fill="auto"/>
          </w:tcPr>
          <w:p w:rsidR="00F91BD2" w:rsidRDefault="00920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3" w:type="dxa"/>
            <w:shd w:val="clear" w:color="auto" w:fill="auto"/>
          </w:tcPr>
          <w:p w:rsidR="00F91BD2" w:rsidRDefault="00506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52" w:type="dxa"/>
            <w:shd w:val="clear" w:color="auto" w:fill="auto"/>
          </w:tcPr>
          <w:p w:rsidR="00F91BD2" w:rsidRDefault="00506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91BD2">
        <w:tc>
          <w:tcPr>
            <w:tcW w:w="812" w:type="dxa"/>
          </w:tcPr>
          <w:p w:rsidR="00F91BD2" w:rsidRDefault="00F91B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99" w:type="dxa"/>
          </w:tcPr>
          <w:p w:rsidR="00F91BD2" w:rsidRDefault="00920C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razdjel:</w:t>
            </w:r>
          </w:p>
        </w:tc>
        <w:tc>
          <w:tcPr>
            <w:tcW w:w="1683" w:type="dxa"/>
          </w:tcPr>
          <w:p w:rsidR="00F91BD2" w:rsidRDefault="005067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067C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2.322.906,32</w:t>
            </w:r>
          </w:p>
        </w:tc>
        <w:tc>
          <w:tcPr>
            <w:tcW w:w="1683" w:type="dxa"/>
          </w:tcPr>
          <w:p w:rsidR="00F91BD2" w:rsidRDefault="005067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C6">
              <w:rPr>
                <w:rFonts w:ascii="Times New Roman" w:hAnsi="Times New Roman" w:cs="Times New Roman"/>
                <w:b/>
                <w:sz w:val="24"/>
                <w:szCs w:val="24"/>
              </w:rPr>
              <w:t>2.321.306,32</w:t>
            </w:r>
          </w:p>
        </w:tc>
        <w:tc>
          <w:tcPr>
            <w:tcW w:w="1652" w:type="dxa"/>
          </w:tcPr>
          <w:p w:rsidR="00F91BD2" w:rsidRDefault="005067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C6">
              <w:rPr>
                <w:rFonts w:ascii="Times New Roman" w:hAnsi="Times New Roman" w:cs="Times New Roman"/>
                <w:b/>
                <w:sz w:val="24"/>
                <w:szCs w:val="24"/>
              </w:rPr>
              <w:t>2.321.306,32</w:t>
            </w:r>
          </w:p>
        </w:tc>
      </w:tr>
    </w:tbl>
    <w:p w:rsidR="00F91BD2" w:rsidRDefault="00F91BD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BD2" w:rsidRDefault="00F91BD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BD2" w:rsidRDefault="00F91BD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BD2" w:rsidRDefault="00F91BD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BD2" w:rsidRDefault="00F91BD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BD2" w:rsidRDefault="00F91BD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BD2" w:rsidRDefault="00F91BD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7C6" w:rsidRDefault="005067C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BD2" w:rsidRDefault="00F91BD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BD2" w:rsidRDefault="00F91BD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BD2" w:rsidRDefault="00F91BD2" w:rsidP="00AC083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BD2" w:rsidRDefault="00920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Obrazloženje posebnog dijela Financijskog plana za 202</w:t>
      </w:r>
      <w:r w:rsidR="005067C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godinu i projekcija za 202</w:t>
      </w:r>
      <w:r w:rsidR="005067C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 i 202</w:t>
      </w:r>
      <w:r w:rsidR="005067C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F91BD2" w:rsidRDefault="00F91BD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BD2" w:rsidRDefault="00F91BD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1BD2" w:rsidRDefault="00F91BD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SAŽETAK DJELOKRUGA RADA:</w:t>
      </w: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bCs/>
          <w:color w:val="42424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Redovni program odgoja i obrazovanja. Osnovnoškolski </w:t>
      </w:r>
      <w:r>
        <w:rPr>
          <w:rStyle w:val="Naglaeno"/>
          <w:rFonts w:ascii="Times New Roman" w:hAnsi="Times New Roman" w:cs="Times New Roman"/>
          <w:b w:val="0"/>
          <w:color w:val="424242"/>
          <w:sz w:val="24"/>
          <w:szCs w:val="24"/>
          <w:shd w:val="clear" w:color="auto" w:fill="FFFFFF"/>
        </w:rPr>
        <w:t>odgoj i obrazovanje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počinje upisom u prvi razred osnovne škole. Ono je obvezno za svu djecu, u pravilu traje od šeste do petnaeste godine života, a za učenike s višestrukim teškoćama u razvoju najdulje do 21. godine života. </w:t>
      </w:r>
      <w:r>
        <w:rPr>
          <w:rStyle w:val="Naglaeno"/>
          <w:rFonts w:ascii="Times New Roman" w:hAnsi="Times New Roman" w:cs="Times New Roman"/>
          <w:b w:val="0"/>
          <w:color w:val="424242"/>
          <w:sz w:val="24"/>
          <w:szCs w:val="24"/>
          <w:shd w:val="clear" w:color="auto" w:fill="FFFFFF"/>
        </w:rPr>
        <w:t>Osnovna škola traje osam godina i izvodi se kroz redovite i posebne programe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. Osnovnim obrazovanjem učenik stječe znanje i sposobnosti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nastavak školovanja i cjeloživotno učenje u promjenjivom društveno-kulturnom kontekstu prema zahtjevima tržišnog gospodarstva, suvremenih informacijsko-komunikacijskih tehnologija i znanstvenih spoznaja i dostignuća.</w:t>
      </w: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ORGANIZACIJSKA STRUKTURA:</w:t>
      </w:r>
    </w:p>
    <w:p w:rsidR="00F91BD2" w:rsidRDefault="00F91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Odvajanjem od matične škole u Krku, 2016. godine Osnovna škola u Omišlju postala je samostalna ustanova, te u svom sastavu ima i područnu školu u Dobrinju. </w:t>
      </w:r>
    </w:p>
    <w:p w:rsidR="00F91BD2" w:rsidRDefault="00920C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MŠ Omišalj je organizirana nastava u dvije smjene u petodnevnom radnom tjednu, a u PŠ Dobrinj  u prijepodnevnoj smjeni u petodnevnom radnom tjednu. </w:t>
      </w:r>
    </w:p>
    <w:p w:rsidR="00F91BD2" w:rsidRDefault="00920CEF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Školskim kurikulumom utvrđen je dugoročni i kratkoročni plan i program rada škole kroz dodatnu, dopunsku i izbornu nastavu, izvannastavne aktivnosti te druge odgojno – obrazovne programe i projekte. </w:t>
      </w: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Redovna nastava, izborna, dodatna i dopunska nastava, te terenska nastava, kao i izvannastavne aktivnosti i projekti izvode se prema Godišnjem planu i programu rada škole, te u skladu sa Školskim kurikulumom.</w:t>
      </w: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školi je zaposleno ukupno </w:t>
      </w:r>
      <w:r w:rsidR="005067C6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djelatnika (stanje 30. rujna 202</w:t>
      </w:r>
      <w:r w:rsidR="005067C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.), od kojih je </w:t>
      </w:r>
      <w:r w:rsidR="00234693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financirano iz DP, 1</w:t>
      </w:r>
      <w:r w:rsidR="0023469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financiraju JLS -5 djelatnika u potpunosti, </w:t>
      </w:r>
      <w:r w:rsidR="0023469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djelatnika djelomično (</w:t>
      </w:r>
      <w:bookmarkStart w:id="0" w:name="_Hlk148967245"/>
      <w:r>
        <w:rPr>
          <w:rFonts w:ascii="Times New Roman" w:hAnsi="Times New Roman" w:cs="Times New Roman"/>
          <w:color w:val="000000" w:themeColor="text1"/>
          <w:sz w:val="24"/>
          <w:szCs w:val="24"/>
        </w:rPr>
        <w:t>učiteljice u produženom boravku, logopeda i psihologa, voditelj PŠ Dobrinj, kuharice u produženom boravku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 </w:t>
      </w:r>
      <w:r w:rsidR="0023469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pomoćnika u nastavi preko PGŽ. </w:t>
      </w: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Programe za unaprjeđenje kvalitete odgojno obrazovnog sustava financiraju PGŽ te općine Omišalj i Dobrinj. </w:t>
      </w:r>
    </w:p>
    <w:p w:rsidR="00F91BD2" w:rsidRDefault="00920CEF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NAZIV PROGRAMA:</w:t>
      </w:r>
      <w:r>
        <w:rPr>
          <w:rFonts w:ascii="Times New Roman" w:hAnsi="Times New Roman" w:cs="Times New Roman"/>
          <w:b/>
          <w:sz w:val="24"/>
          <w:szCs w:val="24"/>
        </w:rPr>
        <w:tab/>
        <w:t>Program 5301 Osnovnoškolsko obrazovanje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SVRHA PROGRAMA: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Svrha programa osnovnoškolskog obrazovanja je podizanje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kvalitete nastave na što višu razinu, stalnim i kvalitetnim usavršavanjem nastavnika te podizanjem materijalnih i drugih uvjeta prema mogućnostima na viši standard i sve to racionalnim gospodarenjem.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Bitne pretpostavke ostvarivanja ciljeva su: postojanje stručne kompetencije učitelja, kvalitetna suradnja na relaciji roditelji – škola, podrška i pomoć lokalne zajednice.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POVEZANOST PROGRAMA SA STRATEŠKIM DOKUMENTIMA: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1BD2" w:rsidRDefault="00920CE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POSEBNI CILJ: </w:t>
      </w:r>
    </w:p>
    <w:p w:rsidR="00F91BD2" w:rsidRDefault="00F91B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 Podrška osnivanju i funkcioniranju obitelji te razvoj sustava brige o djeci i mladima</w:t>
      </w:r>
    </w:p>
    <w:p w:rsidR="00F91BD2" w:rsidRDefault="00920CE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4.1.. Razvoj modernog obrazovnog sustava prilagođenog društvenim izazovima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MJERA: </w:t>
      </w:r>
    </w:p>
    <w:p w:rsidR="00F91BD2" w:rsidRDefault="00920CEF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2.1.2. Unaprjeđenje uvjeta i organizacije rada predškolskih i školskih ustanova</w:t>
      </w:r>
    </w:p>
    <w:p w:rsidR="00F91BD2" w:rsidRDefault="00920CEF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4.1.1. Izgradnja, adaptacija i opremanje osnovnih i srednjih škola</w:t>
      </w:r>
    </w:p>
    <w:p w:rsidR="00F91BD2" w:rsidRDefault="00920CEF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4.1.2. Sustavno ulaganje u kvalitetu obrazovanja i usavršavanja te uvjete rada djelatnika u obrazovanju</w:t>
      </w:r>
    </w:p>
    <w:p w:rsidR="00F91BD2" w:rsidRDefault="00920CEF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4.1.3. Prilagođeni školski programi za kvalitetnije obrazovanje</w:t>
      </w:r>
    </w:p>
    <w:p w:rsidR="00F91BD2" w:rsidRDefault="00920CEF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4.1.4.Podizanje razine osnovnog i strukovnog znanja, kompetencija i vještina</w:t>
      </w:r>
    </w:p>
    <w:p w:rsidR="00F91BD2" w:rsidRDefault="00F91BD2">
      <w:pPr>
        <w:spacing w:after="0" w:line="360" w:lineRule="auto"/>
        <w:ind w:left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ZAKONSKE I DRUGE PODLOGE NA KOJIMA SE PROGRAM ZASNIVA: </w:t>
      </w:r>
    </w:p>
    <w:p w:rsidR="00F91BD2" w:rsidRDefault="00F91B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91BD2" w:rsidRDefault="00920C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Djelatnost osnovnog školstva provodi se u skladu s odredbama Zakona o odgoju i obrazovanju u osnovnoj i srednjoj školi (NN 87/08,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86/09,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92/10,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105/10,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90/11,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5/12,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6/12,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86/12,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126/12, 94/13, 152/14, 07/17, 68/18, 98/19, 64/20, 151/22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, 155/23, 156/23, 135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Zakona o lokalnoj i područnoj (regionalnoj) samoupravi (NN 33/01, 60/01, 129/05, 109/07, 125/08, 36/09, 150/11, 144/12, 19/13, 137/15, 123/17, 98/19, 144/20 ), Državni pedagoški standard osnovnoškolskog sustava odgoja i obrazovanja (NN 63/08, 90/10), Zakona o financiranju jedinica lokalne i područne (regionalne) samouprave (NN 127/17, 138/20, 151/22, 114/23), Temeljni kolektivni ugovor za službenike 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namještenike u javnim službama (NN 56/2022).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Godišnji izvedbeni odgojno obrazovni plan i program rada i školski kurikulum prema planu i programu koje je donijelo Ministarstvo znanosti obrazovanja i sporta.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ISHODIŠTE I POKAZATELJI NA KOJIMA SE ZASNIVAJU IZRAČUNI I OCJENE POTREBNIH SREDSTAVA ZA PROVOĐENJE PROGRAMA: </w:t>
      </w:r>
    </w:p>
    <w:p w:rsidR="00F91BD2" w:rsidRDefault="00F91BD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91BD2" w:rsidRDefault="00920CE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Plan je sljedeći :</w:t>
      </w:r>
    </w:p>
    <w:p w:rsidR="00F91BD2" w:rsidRDefault="00920CE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 iznajmljivanja školske sportske dvorane ostvariti </w:t>
      </w:r>
      <w:r w:rsidR="002346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21.500,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00 Eur prihoda.</w:t>
      </w:r>
    </w:p>
    <w:p w:rsidR="00F91BD2" w:rsidRDefault="00920CE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 sredstava namijenjenih za decentralizirane funkcije planira se prihod u iznosu od 96.500,00 Eur.</w:t>
      </w:r>
    </w:p>
    <w:p w:rsidR="00F91BD2" w:rsidRDefault="00920CE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Prenesenih vlastitih sredstava planirano je u iznosu od 1.000,00 Eur.</w:t>
      </w:r>
    </w:p>
    <w:p w:rsidR="00F91BD2" w:rsidRDefault="00920C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 tekuće pomoći iz državnog proračuna planira se ostvariti </w:t>
      </w:r>
      <w:r w:rsidR="00234693" w:rsidRPr="00234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1.756.720,00</w:t>
      </w:r>
      <w:r w:rsidR="00234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Eur. Prihod je namijenjen za isplatu plaća i materijalnih prava djelatnika. </w:t>
      </w:r>
    </w:p>
    <w:p w:rsidR="00F91BD2" w:rsidRDefault="00920C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 nenadležnih proračuna JLS (Općina Omišalj i Općina Dobrinj) planira se ostvariti ukupno </w:t>
      </w:r>
      <w:r w:rsidR="00234693" w:rsidRPr="00234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180.525,00</w:t>
      </w:r>
      <w:r w:rsidR="00234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Eur. Prihod je namijenjen za isplatu plaća učitelja i kuhara u produženom boravku, učitelja pomagača, logopeda, voditelja područne škole, izvannastavnu aktivnost informatike i talijanskog jezika, pomoćnika u nastavi te stručnog suradnika-psihologa (programi koji nisu financirani iz Državnog proračuna). </w:t>
      </w:r>
    </w:p>
    <w:p w:rsidR="00F91BD2" w:rsidRDefault="00920C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nabavku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udžbenika planiran je prihod od </w:t>
      </w:r>
      <w:r w:rsidR="00234693" w:rsidRPr="00234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11.500,00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Eur, za nabavku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radnih udžbenike za učenike u osnovnim školama planiran je prihod od </w:t>
      </w:r>
      <w:r w:rsidR="00234693" w:rsidRPr="00234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16.000,00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, dok je za nabavu radnih bilježnica iz nenadležnog proračuna planirano 2</w:t>
      </w:r>
      <w:r w:rsidR="00762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.000,00 Eur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F91BD2" w:rsidRDefault="00920C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Planirani prihod za prehranu učenika je 82.160,00 Eur.</w:t>
      </w:r>
    </w:p>
    <w:p w:rsidR="00F91BD2" w:rsidRDefault="00F91BD2">
      <w:pPr>
        <w:pStyle w:val="Odlomakpopisa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1BD2" w:rsidRDefault="00920CEF">
      <w:pPr>
        <w:pStyle w:val="Odlomakpopisa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Projekcije za 202</w:t>
      </w:r>
      <w:r w:rsidR="007623E8"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</w:rPr>
        <w:t>. i 202</w:t>
      </w:r>
      <w:r w:rsidR="007623E8">
        <w:rPr>
          <w:rFonts w:ascii="Times New Roman" w:hAnsi="Times New Roman"/>
          <w:color w:val="000000" w:themeColor="text1"/>
          <w:sz w:val="24"/>
          <w:szCs w:val="24"/>
        </w:rPr>
        <w:t xml:space="preserve">8   </w:t>
      </w:r>
      <w:r>
        <w:rPr>
          <w:rFonts w:ascii="Times New Roman" w:hAnsi="Times New Roman"/>
          <w:color w:val="000000" w:themeColor="text1"/>
          <w:sz w:val="24"/>
          <w:szCs w:val="24"/>
        </w:rPr>
        <w:t>. godinu napravljene su na nivou 202</w:t>
      </w:r>
      <w:r w:rsidR="007623E8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>.god umanjenom za 1.</w:t>
      </w:r>
      <w:r w:rsidR="007623E8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00,00 Eura koji su planirana prenesena sredstva iz 2024. godine u 2025. godinu. </w:t>
      </w:r>
    </w:p>
    <w:p w:rsidR="00F91BD2" w:rsidRDefault="00F91BD2">
      <w:pPr>
        <w:pStyle w:val="Odlomakpopis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91BD2" w:rsidRDefault="00F91BD2">
      <w:pPr>
        <w:pStyle w:val="Odlomakpopis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91BD2" w:rsidRDefault="00F91BD2">
      <w:pPr>
        <w:pStyle w:val="Odlomakpopis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IZVJEŠTAJ O POSTIGNUTIM CILJEVIMA I REZULTATIMA PROGRAMA TEMELJENIM NA POKAZATELJIMA USPJEŠNOSTI U PRETHODNOJ GODINI: 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prva tri tromjesečja 202</w:t>
      </w:r>
      <w:r w:rsidR="007623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godini ostvareno je ukupno 1.</w:t>
      </w:r>
      <w:r w:rsidR="008F3979">
        <w:rPr>
          <w:rFonts w:ascii="Times New Roman" w:hAnsi="Times New Roman" w:cs="Times New Roman"/>
          <w:color w:val="000000" w:themeColor="text1"/>
          <w:sz w:val="24"/>
          <w:szCs w:val="24"/>
        </w:rPr>
        <w:t>376.024,83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prihoda i 1.</w:t>
      </w:r>
      <w:r w:rsidR="008F3979">
        <w:rPr>
          <w:rFonts w:ascii="Times New Roman" w:hAnsi="Times New Roman" w:cs="Times New Roman"/>
          <w:color w:val="000000" w:themeColor="text1"/>
          <w:sz w:val="24"/>
          <w:szCs w:val="24"/>
        </w:rPr>
        <w:t>545.687,30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rashoda. 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 SREDSTVA ZA REALIZACIJU PROGRAMA: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2"/>
        <w:gridCol w:w="3828"/>
        <w:gridCol w:w="1651"/>
        <w:gridCol w:w="1651"/>
        <w:gridCol w:w="1652"/>
      </w:tblGrid>
      <w:tr w:rsidR="00F91BD2">
        <w:trPr>
          <w:trHeight w:val="367"/>
        </w:trPr>
        <w:tc>
          <w:tcPr>
            <w:tcW w:w="812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828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 / projekta</w:t>
            </w:r>
          </w:p>
        </w:tc>
        <w:tc>
          <w:tcPr>
            <w:tcW w:w="1651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F39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1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F39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F39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91BD2">
        <w:trPr>
          <w:trHeight w:val="383"/>
        </w:trPr>
        <w:tc>
          <w:tcPr>
            <w:tcW w:w="812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530101 Osiguravanje uvjeta rada</w:t>
            </w:r>
          </w:p>
        </w:tc>
        <w:tc>
          <w:tcPr>
            <w:tcW w:w="1651" w:type="dxa"/>
          </w:tcPr>
          <w:p w:rsidR="00F91BD2" w:rsidRDefault="008F3979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39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2.058.645,00</w:t>
            </w:r>
          </w:p>
        </w:tc>
        <w:tc>
          <w:tcPr>
            <w:tcW w:w="1651" w:type="dxa"/>
          </w:tcPr>
          <w:p w:rsidR="00F91BD2" w:rsidRDefault="008F3979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8F39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2.057.545,00</w:t>
            </w:r>
          </w:p>
        </w:tc>
        <w:tc>
          <w:tcPr>
            <w:tcW w:w="1652" w:type="dxa"/>
          </w:tcPr>
          <w:p w:rsidR="00F91BD2" w:rsidRDefault="008F3979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39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2.057.545,00</w:t>
            </w:r>
          </w:p>
        </w:tc>
      </w:tr>
      <w:tr w:rsidR="00F91BD2">
        <w:trPr>
          <w:trHeight w:val="750"/>
        </w:trPr>
        <w:tc>
          <w:tcPr>
            <w:tcW w:w="812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530106 Nabava udžbenika za učenike OŠ</w:t>
            </w:r>
          </w:p>
        </w:tc>
        <w:tc>
          <w:tcPr>
            <w:tcW w:w="1651" w:type="dxa"/>
          </w:tcPr>
          <w:p w:rsidR="00F91BD2" w:rsidRDefault="00D352EB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352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54.500,00</w:t>
            </w:r>
          </w:p>
        </w:tc>
        <w:tc>
          <w:tcPr>
            <w:tcW w:w="1651" w:type="dxa"/>
          </w:tcPr>
          <w:p w:rsidR="00F91BD2" w:rsidRDefault="00D352EB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2EB">
              <w:rPr>
                <w:rFonts w:ascii="Times New Roman" w:hAnsi="Times New Roman" w:cs="Times New Roman"/>
                <w:sz w:val="24"/>
                <w:szCs w:val="24"/>
              </w:rPr>
              <w:t>54.500,00</w:t>
            </w:r>
          </w:p>
        </w:tc>
        <w:tc>
          <w:tcPr>
            <w:tcW w:w="1652" w:type="dxa"/>
          </w:tcPr>
          <w:p w:rsidR="00F91BD2" w:rsidRDefault="00D352EB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2EB">
              <w:rPr>
                <w:rFonts w:ascii="Times New Roman" w:hAnsi="Times New Roman" w:cs="Times New Roman"/>
                <w:sz w:val="24"/>
                <w:szCs w:val="24"/>
              </w:rPr>
              <w:t>54.500,00</w:t>
            </w:r>
          </w:p>
        </w:tc>
      </w:tr>
      <w:tr w:rsidR="00F91BD2">
        <w:trPr>
          <w:trHeight w:val="750"/>
        </w:trPr>
        <w:tc>
          <w:tcPr>
            <w:tcW w:w="812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530107 Prehrana za učenike u osnovnim školama</w:t>
            </w:r>
          </w:p>
        </w:tc>
        <w:tc>
          <w:tcPr>
            <w:tcW w:w="1651" w:type="dxa"/>
          </w:tcPr>
          <w:p w:rsidR="00F91BD2" w:rsidRDefault="00920CEF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82.160,00</w:t>
            </w:r>
          </w:p>
          <w:p w:rsidR="00F91BD2" w:rsidRDefault="00F91BD2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F91BD2" w:rsidRDefault="00920CEF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82.160,00</w:t>
            </w:r>
          </w:p>
          <w:p w:rsidR="00F91BD2" w:rsidRDefault="00F91BD2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F91BD2" w:rsidRDefault="00920CEF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82.160,00</w:t>
            </w:r>
          </w:p>
          <w:p w:rsidR="00F91BD2" w:rsidRDefault="00F91BD2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BD2">
        <w:trPr>
          <w:trHeight w:val="367"/>
        </w:trPr>
        <w:tc>
          <w:tcPr>
            <w:tcW w:w="812" w:type="dxa"/>
          </w:tcPr>
          <w:p w:rsidR="00F91BD2" w:rsidRDefault="00F91BD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program:</w:t>
            </w:r>
          </w:p>
        </w:tc>
        <w:tc>
          <w:tcPr>
            <w:tcW w:w="1651" w:type="dxa"/>
          </w:tcPr>
          <w:p w:rsidR="00F91BD2" w:rsidRDefault="00D352EB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352EB">
              <w:rPr>
                <w:rFonts w:ascii="Times New Roman" w:hAnsi="Times New Roman" w:cs="Times New Roman"/>
                <w:b/>
                <w:sz w:val="24"/>
                <w:szCs w:val="24"/>
              </w:rPr>
              <w:t>2.195.305,00</w:t>
            </w:r>
          </w:p>
        </w:tc>
        <w:tc>
          <w:tcPr>
            <w:tcW w:w="1651" w:type="dxa"/>
          </w:tcPr>
          <w:p w:rsidR="00F91BD2" w:rsidRDefault="00D352EB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352EB">
              <w:rPr>
                <w:rFonts w:ascii="Times New Roman" w:hAnsi="Times New Roman" w:cs="Times New Roman"/>
                <w:b/>
                <w:sz w:val="24"/>
                <w:szCs w:val="24"/>
              </w:rPr>
              <w:t>2.194.205,00</w:t>
            </w:r>
          </w:p>
        </w:tc>
        <w:tc>
          <w:tcPr>
            <w:tcW w:w="1652" w:type="dxa"/>
          </w:tcPr>
          <w:p w:rsidR="00F91BD2" w:rsidRDefault="00D352EB" w:rsidP="00D352EB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EB">
              <w:rPr>
                <w:rFonts w:ascii="Times New Roman" w:hAnsi="Times New Roman" w:cs="Times New Roman"/>
                <w:b/>
                <w:sz w:val="24"/>
                <w:szCs w:val="24"/>
              </w:rPr>
              <w:t>2.194.205,00</w:t>
            </w:r>
          </w:p>
        </w:tc>
      </w:tr>
    </w:tbl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RAZLOG ODSTUPANJA OD PROŠLOGODINJIH PROJEKCIJA: 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Prva projekcija za 202</w:t>
      </w:r>
      <w:r w:rsidR="00D352E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napravljena je u najboljoj vjeri, na temelju predviđanja. Očekuje se da će se na temelju rezultata po završnom računu za 202</w:t>
      </w:r>
      <w:r w:rsidR="00D352E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godinu moći realnije planirati period 202</w:t>
      </w:r>
      <w:r w:rsidR="00D352E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D352E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te u skladu s tim i zatražiti izmjene na prvom rebalansu. </w:t>
      </w:r>
    </w:p>
    <w:p w:rsidR="00B12163" w:rsidRDefault="00B1216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1118" w:tblpY="461"/>
        <w:tblOverlap w:val="never"/>
        <w:tblW w:w="9861" w:type="dxa"/>
        <w:tblLayout w:type="fixed"/>
        <w:tblLook w:val="04A0" w:firstRow="1" w:lastRow="0" w:firstColumn="1" w:lastColumn="0" w:noHBand="0" w:noVBand="1"/>
      </w:tblPr>
      <w:tblGrid>
        <w:gridCol w:w="1615"/>
        <w:gridCol w:w="2438"/>
        <w:gridCol w:w="975"/>
        <w:gridCol w:w="1100"/>
        <w:gridCol w:w="1181"/>
        <w:gridCol w:w="1276"/>
        <w:gridCol w:w="1276"/>
      </w:tblGrid>
      <w:tr w:rsidR="00F91BD2">
        <w:trPr>
          <w:trHeight w:val="924"/>
        </w:trPr>
        <w:tc>
          <w:tcPr>
            <w:tcW w:w="1615" w:type="dxa"/>
            <w:vAlign w:val="center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Pokazatelj uspješnosti</w:t>
            </w:r>
          </w:p>
        </w:tc>
        <w:tc>
          <w:tcPr>
            <w:tcW w:w="2438" w:type="dxa"/>
            <w:vAlign w:val="center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Definicija</w:t>
            </w:r>
          </w:p>
        </w:tc>
        <w:tc>
          <w:tcPr>
            <w:tcW w:w="975" w:type="dxa"/>
            <w:vAlign w:val="center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Jedinica</w:t>
            </w:r>
          </w:p>
        </w:tc>
        <w:tc>
          <w:tcPr>
            <w:tcW w:w="1100" w:type="dxa"/>
            <w:vAlign w:val="center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Polazna vrijednost</w:t>
            </w:r>
          </w:p>
        </w:tc>
        <w:tc>
          <w:tcPr>
            <w:tcW w:w="1181" w:type="dxa"/>
            <w:vAlign w:val="center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Ciljana vrijednost 202</w:t>
            </w:r>
            <w:r w:rsidR="00B1216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Ciljana vrijednost 202</w:t>
            </w:r>
            <w:r w:rsidR="00B1216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Ciljana vrijednost 202</w:t>
            </w:r>
            <w:r w:rsidR="00B1216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F91BD2">
        <w:trPr>
          <w:trHeight w:val="219"/>
        </w:trPr>
        <w:tc>
          <w:tcPr>
            <w:tcW w:w="1615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Povećanje broja učenika uključenih u prehranu putem obroka školske kuhinje</w:t>
            </w:r>
          </w:p>
        </w:tc>
        <w:tc>
          <w:tcPr>
            <w:tcW w:w="2438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Organiziranim obrocima školske marende osigurati učenicima redovitu i pravilnu prehranu za vrijeme boravka u školi</w:t>
            </w:r>
          </w:p>
        </w:tc>
        <w:tc>
          <w:tcPr>
            <w:tcW w:w="975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Br. učenika</w:t>
            </w:r>
          </w:p>
        </w:tc>
        <w:tc>
          <w:tcPr>
            <w:tcW w:w="1100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100%</w:t>
            </w:r>
          </w:p>
        </w:tc>
        <w:tc>
          <w:tcPr>
            <w:tcW w:w="1181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100%</w:t>
            </w:r>
          </w:p>
        </w:tc>
        <w:tc>
          <w:tcPr>
            <w:tcW w:w="1276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100%</w:t>
            </w:r>
          </w:p>
        </w:tc>
        <w:tc>
          <w:tcPr>
            <w:tcW w:w="1276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100%</w:t>
            </w:r>
          </w:p>
        </w:tc>
      </w:tr>
    </w:tbl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POKAZATELJI USPJEŠNOSTI: </w:t>
      </w:r>
    </w:p>
    <w:p w:rsidR="00B12163" w:rsidRDefault="00B12163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2163" w:rsidRDefault="00B12163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2163" w:rsidRDefault="00B12163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NAZIV PROGRAMA:</w:t>
      </w:r>
      <w:r>
        <w:rPr>
          <w:rFonts w:ascii="Times New Roman" w:hAnsi="Times New Roman" w:cs="Times New Roman"/>
          <w:b/>
          <w:sz w:val="24"/>
          <w:szCs w:val="24"/>
        </w:rPr>
        <w:tab/>
        <w:t>Program 5302 Unaprjeđenje kvalitete odgojno obrazovnog sustava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SVRHA PROGRAMA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1BD2" w:rsidRDefault="00920CE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Kroz produženi boravak osiguravamo sigurnost roditeljima i djeci razredne nastave ,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organiziramo i provodimo neposredni odgojno-obrazovni rad s učenicima. Općine Omišalj i Dobrinj financiraju rad osoblja u PB, dok roditelji financiraju ručak za dane kad su djeca prisutna u PB.</w:t>
      </w:r>
    </w:p>
    <w:p w:rsidR="00F91BD2" w:rsidRDefault="00920CE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Izvrsnost, kreativnost i inovativnost učenika prepoznaje se i potiče kroz rad u brojnim grupama, kao što su: Eko-škola, Mali knjižničari, Robotičari i mnoge druge. Taj rad organiziranih grupa prepoznat je i od osnivača koji financira Programe za poticanje dodatnog odgojno-obrazovnog stvaralaštva kroz Školski kurikulum, te od općine Omišalj i općine Dobrinj. Također provodimo 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Županijsku školu plivanja</w:t>
      </w:r>
      <w:r>
        <w:rPr>
          <w:rFonts w:ascii="Verdana" w:hAnsi="Verdana"/>
          <w:color w:val="7F7F7F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 suradnji s Upravnim odjelom za odgoj i obrazovanje Primorsko-goranske županije.</w:t>
      </w:r>
    </w:p>
    <w:p w:rsidR="00F91BD2" w:rsidRDefault="00920CE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sklopu unaprijeđena kvalitete odgojno obrazovnog sustava omogućeno zapošljavanje </w:t>
      </w:r>
      <w:r w:rsidR="00B1216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pomoćnika u nastavi za rad s učenicima s poteškoćama čime se dodatno podiže kvaliteta obrazovanja, te istima omogućava lakše svladavanje obrazovnog i nastavnog programa.</w:t>
      </w:r>
    </w:p>
    <w:p w:rsidR="00F91BD2" w:rsidRDefault="00B1216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Također</w:t>
      </w:r>
      <w:r w:rsidR="00920C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nastavljamo s aktivnosti osiguranja besplatnih menstrualnih higijenskih potre</w:t>
      </w:r>
      <w:r w:rsidR="00920CE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20C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ština.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POVEZANOST PROGRAMA SA STRATEŠKIM DOKUMENTIMA: 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1BD2" w:rsidRDefault="00920CE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POSEBNI CILJ: </w:t>
      </w:r>
    </w:p>
    <w:p w:rsidR="00F91BD2" w:rsidRDefault="00920CE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 Podrška osnivanju i funkcioniranju obitelji te razvoj sustava brige o djeci i mladima</w:t>
      </w:r>
    </w:p>
    <w:p w:rsidR="00F91BD2" w:rsidRDefault="00920CE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4.1.. Razvoj modernog obrazovnog sustava prilagođenog društvenim izazovima</w:t>
      </w:r>
    </w:p>
    <w:p w:rsidR="00F91BD2" w:rsidRDefault="00920CE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91BD2" w:rsidRDefault="00920CE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MJERA: </w:t>
      </w:r>
    </w:p>
    <w:p w:rsidR="00F91BD2" w:rsidRDefault="00920CEF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2.1.2. Unaprjeđenje uvjeta i organizacije rada predškolskih i školskih ustanova</w:t>
      </w:r>
    </w:p>
    <w:p w:rsidR="00F91BD2" w:rsidRDefault="00920CEF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4.1.3. Prilagođeni školski programi za kvalitetnije obrazovanje</w:t>
      </w:r>
    </w:p>
    <w:p w:rsidR="00F91BD2" w:rsidRDefault="00920CEF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4.1.4.Podizanje razine osnovnog i strukovnog znanja, kompetencija i vještina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ZAKONSKE I DRUGE PODLOGE NA KOJIMA SE PROGRAM ZASNIVA: </w:t>
      </w:r>
    </w:p>
    <w:p w:rsidR="00F91BD2" w:rsidRDefault="00920CEF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Pravilnik o organizaciji i provedbi produženoga boravka u osnovnoj školi, Pravilnik o pomoćnicima u nastavi i stručnim komunikacijskim posrednicima.</w:t>
      </w:r>
    </w:p>
    <w:p w:rsidR="00F91BD2" w:rsidRDefault="00920C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ISHODIŠTE I POKAZATELJI NA KOJIMA SE ZASNIVAJU IZRAČUNI I OCJENE POTREBNIH SREDSTAVA ZA PROVOĐENJE PROGRAMA: 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 sufinanciranja cijene produženog boravka planira se namjenski prihod u iznosu  od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</w:t>
      </w:r>
      <w:r w:rsidR="00B1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30.700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,00 Eur</w:t>
      </w:r>
      <w:r w:rsidR="00B1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F91BD2" w:rsidRDefault="00920CE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Za financiranje pomoćnika u nastavi za 202</w:t>
      </w:r>
      <w:r w:rsidR="00B1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. godinu -Eu projekti planirano je </w:t>
      </w:r>
      <w:r w:rsidR="00B1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80.937,32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Eur.</w:t>
      </w:r>
    </w:p>
    <w:p w:rsidR="00F91BD2" w:rsidRDefault="00920C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programu 530222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 nadležnog-županijskog proračuna u 202</w:t>
      </w:r>
      <w:r w:rsidR="00B1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planira se prihod u iznosu od 2.</w:t>
      </w:r>
      <w:r w:rsidR="00B1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00,00 Eur, za program Školskog kurikuluma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, 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 nenadležnih proračuna JLS (Općina Omišalj i Općina Dobrinj) planira se ostvariti ukupno </w:t>
      </w:r>
      <w:r w:rsidR="00B1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10.000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,00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Eur. Prihod je namijenjen za financiranje dodatnih programa koje financiraju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općine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Općine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i Dobrinj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F91BD2" w:rsidRDefault="00920CE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Županijska škola plivanja je po prvi puta organizirana u našoj školi 2023. godine,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r-HR"/>
        </w:rPr>
        <w:t>po uputama koje smo dobili iz Županije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202</w:t>
      </w:r>
      <w:r w:rsidR="00B1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r-HR"/>
        </w:rPr>
        <w:t xml:space="preserve">u planiran je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iznos od 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r-HR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00,00 Eur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r-HR"/>
        </w:rPr>
        <w:t>za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honorare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trenera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F91BD2" w:rsidRDefault="00920CE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Za Osiguranje besplatnih zaliha menstrualnih higijenskih potrepština planirano je 8</w:t>
      </w:r>
      <w:r w:rsidR="00B1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64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,00 Eur.</w:t>
      </w:r>
    </w:p>
    <w:p w:rsidR="00F91BD2" w:rsidRDefault="00F91BD2">
      <w:pPr>
        <w:spacing w:after="0" w:line="360" w:lineRule="auto"/>
        <w:ind w:left="15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91BD2" w:rsidRDefault="00F91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IZVJEŠTAJ O POSTIGNUTIM CILJEVIMA I REZULTATIMA PROGRAMA TEMELJENIM NA POKAZATELJIMA USPJEŠNOSTI U PRETHODNOJ GODINI: </w:t>
      </w:r>
    </w:p>
    <w:p w:rsidR="00F91BD2" w:rsidRDefault="00F91B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prva tri tromjesečja 202</w:t>
      </w:r>
      <w:r w:rsidR="00AE0B1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ostvareno je ukupno </w:t>
      </w:r>
      <w:r w:rsidR="00AE0B11">
        <w:rPr>
          <w:rFonts w:ascii="Times New Roman" w:hAnsi="Times New Roman" w:cs="Times New Roman"/>
          <w:color w:val="000000" w:themeColor="text1"/>
          <w:sz w:val="24"/>
          <w:szCs w:val="24"/>
        </w:rPr>
        <w:t>94.345,08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prihoda </w:t>
      </w:r>
      <w:r w:rsidR="00AE0B11">
        <w:rPr>
          <w:rFonts w:ascii="Times New Roman" w:hAnsi="Times New Roman" w:cs="Times New Roman"/>
          <w:color w:val="000000" w:themeColor="text1"/>
          <w:sz w:val="24"/>
          <w:szCs w:val="24"/>
        </w:rPr>
        <w:t>103.548,13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rashoda. 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6A82" w:rsidRDefault="00806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6A82" w:rsidRDefault="00806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6A82" w:rsidRDefault="00806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6A82" w:rsidRDefault="00806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6A82" w:rsidRDefault="00806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6A82" w:rsidRDefault="00806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6A82" w:rsidRDefault="00806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NAČIN I SREDSTVA ZA REALIZACIJU PROGRAMA: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5"/>
        <w:gridCol w:w="3841"/>
        <w:gridCol w:w="1657"/>
        <w:gridCol w:w="1657"/>
        <w:gridCol w:w="1659"/>
      </w:tblGrid>
      <w:tr w:rsidR="00F91BD2">
        <w:tc>
          <w:tcPr>
            <w:tcW w:w="815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841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 / projekta</w:t>
            </w:r>
          </w:p>
        </w:tc>
        <w:tc>
          <w:tcPr>
            <w:tcW w:w="1657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121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121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9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1216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91BD2">
        <w:tc>
          <w:tcPr>
            <w:tcW w:w="815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1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530202 Produženi boravak učenika</w:t>
            </w:r>
          </w:p>
          <w:p w:rsidR="00F91BD2" w:rsidRDefault="00F91B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F91BD2" w:rsidRDefault="00B1216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29.200,00</w:t>
            </w:r>
          </w:p>
          <w:p w:rsidR="00F91BD2" w:rsidRDefault="00F91B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F91BD2" w:rsidRDefault="00B1216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28.700,00</w:t>
            </w:r>
          </w:p>
          <w:p w:rsidR="00F91BD2" w:rsidRDefault="00F91B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:rsidR="00F91BD2" w:rsidRDefault="00B1216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28.700,00</w:t>
            </w:r>
          </w:p>
          <w:p w:rsidR="00F91BD2" w:rsidRDefault="00F91B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91BD2">
        <w:tc>
          <w:tcPr>
            <w:tcW w:w="815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1" w:type="dxa"/>
          </w:tcPr>
          <w:p w:rsidR="00F91BD2" w:rsidRDefault="00920CEF" w:rsidP="00B121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530209 Sufinanciranje rada pomoćnika u nastavi- EU</w:t>
            </w:r>
          </w:p>
        </w:tc>
        <w:tc>
          <w:tcPr>
            <w:tcW w:w="1657" w:type="dxa"/>
          </w:tcPr>
          <w:p w:rsidR="00F91BD2" w:rsidRDefault="00B121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63">
              <w:rPr>
                <w:rFonts w:ascii="Times New Roman" w:hAnsi="Times New Roman" w:cs="Times New Roman"/>
                <w:sz w:val="24"/>
                <w:szCs w:val="24"/>
              </w:rPr>
              <w:t>80.937,32</w:t>
            </w:r>
          </w:p>
        </w:tc>
        <w:tc>
          <w:tcPr>
            <w:tcW w:w="1657" w:type="dxa"/>
          </w:tcPr>
          <w:p w:rsidR="00F91BD2" w:rsidRDefault="00B121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63">
              <w:rPr>
                <w:rFonts w:ascii="Times New Roman" w:hAnsi="Times New Roman" w:cs="Times New Roman"/>
                <w:sz w:val="24"/>
                <w:szCs w:val="24"/>
              </w:rPr>
              <w:t>80.937,32</w:t>
            </w:r>
          </w:p>
        </w:tc>
        <w:tc>
          <w:tcPr>
            <w:tcW w:w="1659" w:type="dxa"/>
          </w:tcPr>
          <w:p w:rsidR="00F91BD2" w:rsidRDefault="00B121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63">
              <w:rPr>
                <w:rFonts w:ascii="Times New Roman" w:hAnsi="Times New Roman" w:cs="Times New Roman"/>
                <w:sz w:val="24"/>
                <w:szCs w:val="24"/>
              </w:rPr>
              <w:t>80.937,32</w:t>
            </w:r>
          </w:p>
        </w:tc>
      </w:tr>
      <w:tr w:rsidR="00F91BD2">
        <w:tc>
          <w:tcPr>
            <w:tcW w:w="815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1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530222 Programi školskog kurikuluma- PB-Općine i  Školski kurikulum (županija)</w:t>
            </w:r>
          </w:p>
          <w:p w:rsidR="00F91BD2" w:rsidRDefault="00F91B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121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7" w:type="dxa"/>
          </w:tcPr>
          <w:p w:rsidR="00F91BD2" w:rsidRDefault="00B121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12.100,00</w:t>
            </w:r>
          </w:p>
        </w:tc>
        <w:tc>
          <w:tcPr>
            <w:tcW w:w="1659" w:type="dxa"/>
          </w:tcPr>
          <w:p w:rsidR="00F91BD2" w:rsidRDefault="00B121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12.100,00</w:t>
            </w:r>
          </w:p>
        </w:tc>
      </w:tr>
      <w:tr w:rsidR="00F91BD2">
        <w:trPr>
          <w:trHeight w:val="336"/>
        </w:trPr>
        <w:tc>
          <w:tcPr>
            <w:tcW w:w="815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1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530239 Županijska škola plivanja</w:t>
            </w:r>
          </w:p>
          <w:p w:rsidR="00F91BD2" w:rsidRDefault="00F91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657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659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2.000,00</w:t>
            </w:r>
          </w:p>
        </w:tc>
      </w:tr>
      <w:tr w:rsidR="00F91BD2">
        <w:tc>
          <w:tcPr>
            <w:tcW w:w="815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41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530240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hr-HR"/>
              </w:rPr>
              <w:t>Osiguranje besplatnih zaliha menstrualnih higijenskih potrebština</w:t>
            </w:r>
          </w:p>
          <w:p w:rsidR="00F91BD2" w:rsidRDefault="00F91B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F91BD2" w:rsidRDefault="00B1216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864,00</w:t>
            </w:r>
          </w:p>
        </w:tc>
        <w:tc>
          <w:tcPr>
            <w:tcW w:w="1657" w:type="dxa"/>
          </w:tcPr>
          <w:p w:rsidR="00F91BD2" w:rsidRDefault="00B1216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864,00</w:t>
            </w:r>
          </w:p>
        </w:tc>
        <w:tc>
          <w:tcPr>
            <w:tcW w:w="1659" w:type="dxa"/>
          </w:tcPr>
          <w:p w:rsidR="00F91BD2" w:rsidRDefault="00B1216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864,00</w:t>
            </w:r>
          </w:p>
        </w:tc>
      </w:tr>
      <w:tr w:rsidR="00F91BD2">
        <w:trPr>
          <w:trHeight w:val="358"/>
        </w:trPr>
        <w:tc>
          <w:tcPr>
            <w:tcW w:w="815" w:type="dxa"/>
          </w:tcPr>
          <w:p w:rsidR="00F91BD2" w:rsidRDefault="00F91BD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1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program:</w:t>
            </w:r>
          </w:p>
        </w:tc>
        <w:tc>
          <w:tcPr>
            <w:tcW w:w="1657" w:type="dxa"/>
          </w:tcPr>
          <w:p w:rsidR="00F91BD2" w:rsidRPr="00806A82" w:rsidRDefault="00806A8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A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125.101,32</w:t>
            </w:r>
          </w:p>
        </w:tc>
        <w:tc>
          <w:tcPr>
            <w:tcW w:w="1657" w:type="dxa"/>
          </w:tcPr>
          <w:p w:rsidR="00F91BD2" w:rsidRDefault="00806A8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A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124.601,32</w:t>
            </w:r>
          </w:p>
        </w:tc>
        <w:tc>
          <w:tcPr>
            <w:tcW w:w="1659" w:type="dxa"/>
          </w:tcPr>
          <w:p w:rsidR="00F91BD2" w:rsidRDefault="00806A8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A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124.601,32</w:t>
            </w:r>
          </w:p>
        </w:tc>
      </w:tr>
    </w:tbl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:rsidR="00F91BD2" w:rsidRDefault="00920CE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Do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odstupanja od prijašnjeg plana napomenuli bi PB koji financiraju roditelji,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on je podložan promjenama jer ga naplaćujemo po ostvarenim dolascima.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Sufinanciranje rada pomoćnika u nastavi u odnosu na 202</w:t>
      </w:r>
      <w:r w:rsidR="00806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. g </w:t>
      </w:r>
      <w:r w:rsidR="00806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smanjilo se jer smo u prvoj polovini 2025. godine ostali bez jednog pomoćnika u nastavi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. </w:t>
      </w:r>
    </w:p>
    <w:p w:rsidR="00806A82" w:rsidRDefault="00806A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806A82" w:rsidRDefault="00806A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806A82" w:rsidRDefault="00806A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806A82" w:rsidRDefault="00806A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806A82" w:rsidRDefault="00806A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806A82" w:rsidRDefault="00806A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806A82" w:rsidRDefault="00806A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806A82" w:rsidRDefault="00806A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806A82" w:rsidRDefault="00806A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POKAZATELJI USPJEŠNOSTI: 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6A82" w:rsidRDefault="00806A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855" w:type="dxa"/>
        <w:tblLayout w:type="fixed"/>
        <w:tblLook w:val="04A0" w:firstRow="1" w:lastRow="0" w:firstColumn="1" w:lastColumn="0" w:noHBand="0" w:noVBand="1"/>
      </w:tblPr>
      <w:tblGrid>
        <w:gridCol w:w="1413"/>
        <w:gridCol w:w="2712"/>
        <w:gridCol w:w="630"/>
        <w:gridCol w:w="1275"/>
        <w:gridCol w:w="1275"/>
        <w:gridCol w:w="1275"/>
        <w:gridCol w:w="1275"/>
      </w:tblGrid>
      <w:tr w:rsidR="00F91BD2">
        <w:trPr>
          <w:trHeight w:val="63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Definicija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Polazna vrijednost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Ciljana vrijednost 202</w:t>
            </w:r>
            <w:r w:rsidR="00806A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Ciljana vrijednost 202</w:t>
            </w:r>
            <w:r w:rsidR="00806A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Ciljana vrijednost 202</w:t>
            </w:r>
            <w:r w:rsidR="00806A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91BD2">
        <w:trPr>
          <w:trHeight w:val="2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učenika u programu Produženog Boravka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Osigurati siguran boravak učenika u školi do dolaska roditelja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Br. učenika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806A82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806A82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806A82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806A82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</w:p>
        </w:tc>
      </w:tr>
      <w:tr w:rsidR="00F91BD2">
        <w:trPr>
          <w:trHeight w:val="2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pomoćnika u nastavi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806A82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Održavanjem </w:t>
            </w:r>
            <w:r w:rsidR="00920CEF">
              <w:rPr>
                <w:rFonts w:ascii="Times New Roman" w:hAnsi="Times New Roman" w:cs="Times New Roman"/>
                <w:sz w:val="18"/>
                <w:szCs w:val="18"/>
              </w:rPr>
              <w:t>broja pomoćnika u nastavi olakšati školovanje učenika s teškoćama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Br. pomoćnika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806A82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806A82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806A82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806A82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91BD2">
        <w:trPr>
          <w:trHeight w:val="2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EU projekata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Realizacijom što većeg broja projekata financiranih bespovratnim sredstvima fondova EU poboljšati uvjete rada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Br. projekata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91BD2">
        <w:trPr>
          <w:trHeight w:val="2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učenika u programima poticanja dodatnog odgojno obrazovnog stvaralaštva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Sufinanciranjem programa uključiti učenike u izvannastavne aktivnosti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Br. učenika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70%</w:t>
            </w:r>
          </w:p>
        </w:tc>
      </w:tr>
    </w:tbl>
    <w:p w:rsidR="00F91BD2" w:rsidRDefault="00F91B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NAZIV PROGRAMA: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Program: 5308 Kapitalna ulaganja u odgojno obrazovnu infrastrukturu</w:t>
      </w:r>
    </w:p>
    <w:p w:rsidR="00F91BD2" w:rsidRDefault="00F91BD2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SVRHA PROGRAMA: 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 kapitalne pomoći iz državnog proračuna i vlastitih prihoda planira se ostvariti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00,00 Eur. Prihod je namijenjen za nabavu knjiga za knjižnicu te </w:t>
      </w:r>
      <w:r w:rsidR="00806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računalne opreme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F91BD2" w:rsidRDefault="00920CE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Povećanim održavanjem, izgradnjom i opremanjem škole podiže se standard obrazovanja i same ustanove, što je i od članova Školskog odbora prepoznato i odobreno.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POVEZANOST PROGRAMA SA STRATEŠKIM DOKUMENTIMA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1BD2" w:rsidRDefault="00920CEF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POSEBNI CILJ:</w:t>
      </w:r>
    </w:p>
    <w:p w:rsidR="00F91BD2" w:rsidRDefault="00920CE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Razvoj modernog obrazovnog sustava prilagođenog društvenim izazovima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MJERA: </w:t>
      </w:r>
    </w:p>
    <w:p w:rsidR="00F91BD2" w:rsidRDefault="00920CEF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4.1.3. Prilagođeni školski programi za kvalitetnije obrazovanje </w:t>
      </w:r>
    </w:p>
    <w:p w:rsidR="00F91BD2" w:rsidRDefault="00920CEF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4.1.4. Podizanje razine osnovnih i strukovnih znanja, kompetencija i vještina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ZAKONSKE I DRUGE PODLOGE NA KOJIMA SE PROGRAM ZASNIVA: 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Zakon o odgoju i obrazovanju u osnovnoj i srednjoj školi (NN 87/08, 86/09, 92/10, 105/10, 90/11, 5/12, 16/12, 86/12, 126/12, 94/13, 152/14, 07/17, 68/18, 98/19, 64/20, 151/22, 155/23, 156/23), Pravilnik o mjerilima i načinu korištenja vlastitih prihoda OŠ Omišalj.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ISHODIŠTE I POKAZATELJI NA KOJIMA SE ZASNIVAJU IZRAČUNI I OCJENE POTREBNIH SREDSTAVA ZA PROVOĐENJE PROGRAMA: </w:t>
      </w:r>
    </w:p>
    <w:p w:rsidR="00F91BD2" w:rsidRDefault="00F91B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91BD2" w:rsidRDefault="00920C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 nadležnih proračuna planira se ostvariti ukupno 500,00Eur. Prihod je namijenjen za nabavu knjiga za knjižnicu. </w:t>
      </w:r>
    </w:p>
    <w:p w:rsidR="00F91BD2" w:rsidRDefault="00806A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Od namjenskih</w:t>
      </w:r>
      <w:r w:rsidR="00920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prihoda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produženog boravka</w:t>
      </w:r>
      <w:r w:rsidR="00920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planira se potrošiti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="00920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.000,00 Eur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nabavu računalne opreme.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IZVJEŠTAJ O POSTIGNUTIM CILJEVIMA I REZULTATIMA PROGRAMA TEMELJENIM NA POKAZATELJIMA USPJEŠNOSTI U PRETHODNOJ GODINI: 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prva tri tromjesečja 202</w:t>
      </w:r>
      <w:r w:rsidR="00EB48E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ostvareno je ukupno </w:t>
      </w:r>
      <w:r w:rsidR="00EB48E4">
        <w:rPr>
          <w:rFonts w:ascii="Times New Roman" w:hAnsi="Times New Roman" w:cs="Times New Roman"/>
          <w:color w:val="000000" w:themeColor="text1"/>
          <w:sz w:val="24"/>
          <w:szCs w:val="24"/>
        </w:rPr>
        <w:t>16.250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 Eur prihoda i </w:t>
      </w:r>
      <w:r w:rsidR="00EB48E4">
        <w:rPr>
          <w:rFonts w:ascii="Times New Roman" w:hAnsi="Times New Roman" w:cs="Times New Roman"/>
          <w:color w:val="000000" w:themeColor="text1"/>
          <w:sz w:val="24"/>
          <w:szCs w:val="24"/>
        </w:rPr>
        <w:t>20.275,25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rashoda. </w:t>
      </w:r>
      <w:r w:rsidR="00EB48E4">
        <w:rPr>
          <w:rFonts w:ascii="Times New Roman" w:hAnsi="Times New Roman" w:cs="Times New Roman"/>
          <w:color w:val="000000" w:themeColor="text1"/>
          <w:sz w:val="24"/>
          <w:szCs w:val="24"/>
        </w:rPr>
        <w:t>Prihod se odnosi na financiranje rashoda projektne dokumentacije za dogradnju matične škole u Omišlju, a rashod za uređaje i opremu financiran je iz prenesenih sredstava od 2024. godine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 SREDSTVA ZA REALIZACIJU PROGRAMA: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5"/>
        <w:gridCol w:w="3842"/>
        <w:gridCol w:w="1657"/>
        <w:gridCol w:w="1657"/>
        <w:gridCol w:w="1658"/>
      </w:tblGrid>
      <w:tr w:rsidR="00F91BD2">
        <w:tc>
          <w:tcPr>
            <w:tcW w:w="815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842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 / projekta</w:t>
            </w:r>
          </w:p>
        </w:tc>
        <w:tc>
          <w:tcPr>
            <w:tcW w:w="1657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B48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B48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8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B48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91BD2">
        <w:tc>
          <w:tcPr>
            <w:tcW w:w="815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2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530801 Opremanje ustanova školstva</w:t>
            </w:r>
          </w:p>
          <w:p w:rsidR="00F91BD2" w:rsidRDefault="00F91B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1657" w:type="dxa"/>
          </w:tcPr>
          <w:p w:rsidR="00F91BD2" w:rsidRDefault="00EB48E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920C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.500,00</w:t>
            </w:r>
          </w:p>
        </w:tc>
        <w:tc>
          <w:tcPr>
            <w:tcW w:w="1658" w:type="dxa"/>
          </w:tcPr>
          <w:p w:rsidR="00F91BD2" w:rsidRDefault="00EB48E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920C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.500,00</w:t>
            </w:r>
          </w:p>
        </w:tc>
      </w:tr>
      <w:tr w:rsidR="00F91BD2">
        <w:trPr>
          <w:trHeight w:val="358"/>
        </w:trPr>
        <w:tc>
          <w:tcPr>
            <w:tcW w:w="815" w:type="dxa"/>
          </w:tcPr>
          <w:p w:rsidR="00F91BD2" w:rsidRDefault="00F91BD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</w:tcPr>
          <w:p w:rsidR="00F91BD2" w:rsidRDefault="00920CE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program:</w:t>
            </w:r>
          </w:p>
        </w:tc>
        <w:tc>
          <w:tcPr>
            <w:tcW w:w="1657" w:type="dxa"/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1657" w:type="dxa"/>
          </w:tcPr>
          <w:p w:rsidR="00F91BD2" w:rsidRDefault="00EB48E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20C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.500,00</w:t>
            </w:r>
          </w:p>
        </w:tc>
        <w:tc>
          <w:tcPr>
            <w:tcW w:w="1658" w:type="dxa"/>
          </w:tcPr>
          <w:p w:rsidR="00F91BD2" w:rsidRDefault="00EB48E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20C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.500,00</w:t>
            </w:r>
          </w:p>
        </w:tc>
      </w:tr>
    </w:tbl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RAZLOG ODSTUPANJA OD PROŠLOGODINJIH PROJEKCIJA: 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Odstupanja se vide u </w:t>
      </w:r>
      <w:r w:rsidR="00EB48E4">
        <w:rPr>
          <w:rFonts w:ascii="Times New Roman" w:hAnsi="Times New Roman" w:cs="Times New Roman"/>
          <w:sz w:val="24"/>
          <w:szCs w:val="24"/>
        </w:rPr>
        <w:t xml:space="preserve">odnosu na tekuću godinu jer ne </w:t>
      </w:r>
      <w:r>
        <w:rPr>
          <w:rFonts w:ascii="Times New Roman" w:hAnsi="Times New Roman" w:cs="Times New Roman"/>
          <w:sz w:val="24"/>
          <w:szCs w:val="24"/>
        </w:rPr>
        <w:t>planira</w:t>
      </w:r>
      <w:r w:rsidR="00EB48E4"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z w:val="24"/>
          <w:szCs w:val="24"/>
        </w:rPr>
        <w:t>donacija</w:t>
      </w:r>
      <w:r w:rsidR="00EB48E4">
        <w:rPr>
          <w:rFonts w:ascii="Times New Roman" w:hAnsi="Times New Roman" w:cs="Times New Roman"/>
          <w:sz w:val="24"/>
          <w:szCs w:val="24"/>
        </w:rPr>
        <w:t>, vlastita sredstva i također ne planiramo troškove iz izvora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POKAZATELJI USPJEŠNOSTI: </w:t>
      </w:r>
    </w:p>
    <w:p w:rsidR="00F91BD2" w:rsidRDefault="00F91B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855" w:type="dxa"/>
        <w:tblLayout w:type="fixed"/>
        <w:tblLook w:val="04A0" w:firstRow="1" w:lastRow="0" w:firstColumn="1" w:lastColumn="0" w:noHBand="0" w:noVBand="1"/>
      </w:tblPr>
      <w:tblGrid>
        <w:gridCol w:w="1427"/>
        <w:gridCol w:w="2537"/>
        <w:gridCol w:w="791"/>
        <w:gridCol w:w="1275"/>
        <w:gridCol w:w="1275"/>
        <w:gridCol w:w="1275"/>
        <w:gridCol w:w="1275"/>
      </w:tblGrid>
      <w:tr w:rsidR="00F91BD2">
        <w:trPr>
          <w:trHeight w:val="63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Definicija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Polazna vrijednost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Ciljana vrijednost 202</w:t>
            </w:r>
            <w:r w:rsidR="00AB17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Ciljana vrijednost 202</w:t>
            </w:r>
            <w:r w:rsidR="00AB17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Ciljana vrijednost 202</w:t>
            </w:r>
            <w:r w:rsidR="00AB172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91BD2">
        <w:trPr>
          <w:trHeight w:val="20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Ulaganje u modernizaciju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Modernizacija uredske opreme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56%</w:t>
            </w:r>
          </w:p>
        </w:tc>
      </w:tr>
      <w:tr w:rsidR="00F91BD2">
        <w:trPr>
          <w:trHeight w:val="20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knjiga u knjižnici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Nabava novih knjiga za knjižnicu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2" w:rsidRDefault="00920CE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7300</w:t>
            </w:r>
          </w:p>
        </w:tc>
      </w:tr>
    </w:tbl>
    <w:p w:rsidR="00F91BD2" w:rsidRDefault="00F91B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before="50" w:after="5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ZAV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RŠNE ODREDBE</w:t>
      </w:r>
    </w:p>
    <w:p w:rsidR="00F91BD2" w:rsidRDefault="00F91BD2">
      <w:pPr>
        <w:spacing w:before="50" w:after="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before="50" w:after="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920CEF">
      <w:pPr>
        <w:spacing w:before="50" w:after="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Financijski plana za 202</w:t>
      </w:r>
      <w:r w:rsidR="00AB17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i projekcije za 202</w:t>
      </w:r>
      <w:r w:rsidR="00AB172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AB172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 Osnovne škole Omišalj dostavlja se Školskom odboru na usvajanje. </w:t>
      </w:r>
    </w:p>
    <w:p w:rsidR="00F91BD2" w:rsidRDefault="00920CEF">
      <w:pPr>
        <w:spacing w:before="50" w:after="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donošenja odluke o usvajanju Financijskog plana, škola je dužna isti dostaviti osnivaču Primorsko-goranskoj županiji, te ga objaviti na svojim mrežnim stranicama.  </w:t>
      </w:r>
    </w:p>
    <w:p w:rsidR="00F91BD2" w:rsidRPr="00BB6C4D" w:rsidRDefault="00BB6C4D" w:rsidP="00BB6C4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6C4D">
        <w:rPr>
          <w:rFonts w:ascii="Times New Roman" w:hAnsi="Times New Roman" w:cs="Times New Roman"/>
          <w:sz w:val="24"/>
          <w:szCs w:val="24"/>
        </w:rPr>
        <w:t>Ako ovaj Prijedlog financijskog plana bude usvojen na Županijskoj skupštini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B6C4D">
        <w:rPr>
          <w:rFonts w:ascii="Times New Roman" w:hAnsi="Times New Roman" w:cs="Times New Roman"/>
          <w:sz w:val="24"/>
          <w:szCs w:val="24"/>
        </w:rPr>
        <w:t xml:space="preserve">u cijelosti bez izmjena i dopuna, tada Prijedlog financijskog plana postaje Financijski plan i nije potrebno da ga Školski odbor još jednom potvrđuje. </w:t>
      </w:r>
    </w:p>
    <w:p w:rsidR="00F91BD2" w:rsidRDefault="00920CEF">
      <w:pPr>
        <w:spacing w:before="50" w:after="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 ovog prijedloga financijskog plana su tablice koje su u privitku.</w:t>
      </w:r>
    </w:p>
    <w:p w:rsidR="00F91BD2" w:rsidRDefault="00F91BD2">
      <w:pPr>
        <w:spacing w:before="50" w:after="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BD2" w:rsidRDefault="00F91BD2">
      <w:pPr>
        <w:spacing w:before="50" w:after="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BD2" w:rsidRDefault="00920CEF">
      <w:pPr>
        <w:spacing w:before="50" w:after="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Voditeljica računovodstva:                                                Ravnatelj:                                                                                   </w:t>
      </w:r>
    </w:p>
    <w:p w:rsidR="00F91BD2" w:rsidRDefault="00920CEF">
      <w:pPr>
        <w:spacing w:before="50" w:after="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91BD2" w:rsidRDefault="00920CEF">
      <w:pPr>
        <w:spacing w:before="50" w:after="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Romana Ćosić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Ivana Žuvić</w:t>
      </w:r>
    </w:p>
    <w:p w:rsidR="00F91BD2" w:rsidRDefault="00F91B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91BD2"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5FA" w:rsidRDefault="00AB65FA">
      <w:pPr>
        <w:spacing w:line="240" w:lineRule="auto"/>
      </w:pPr>
      <w:r>
        <w:separator/>
      </w:r>
    </w:p>
  </w:endnote>
  <w:endnote w:type="continuationSeparator" w:id="0">
    <w:p w:rsidR="00AB65FA" w:rsidRDefault="00AB6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5FA" w:rsidRDefault="00AB65FA">
      <w:pPr>
        <w:spacing w:after="0"/>
      </w:pPr>
      <w:r>
        <w:separator/>
      </w:r>
    </w:p>
  </w:footnote>
  <w:footnote w:type="continuationSeparator" w:id="0">
    <w:p w:rsidR="00AB65FA" w:rsidRDefault="00AB65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32BF"/>
    <w:multiLevelType w:val="multilevel"/>
    <w:tmpl w:val="178D32B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72F4C"/>
    <w:multiLevelType w:val="multilevel"/>
    <w:tmpl w:val="21172F4C"/>
    <w:lvl w:ilvl="0">
      <w:start w:val="1"/>
      <w:numFmt w:val="bullet"/>
      <w:lvlText w:val=""/>
      <w:lvlJc w:val="left"/>
      <w:pPr>
        <w:ind w:left="1515" w:hanging="43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44380"/>
    <w:multiLevelType w:val="multilevel"/>
    <w:tmpl w:val="68444380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2D3666"/>
    <w:multiLevelType w:val="multilevel"/>
    <w:tmpl w:val="742D366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74643"/>
    <w:multiLevelType w:val="multilevel"/>
    <w:tmpl w:val="77874643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0775"/>
    <w:rsid w:val="00000903"/>
    <w:rsid w:val="00007392"/>
    <w:rsid w:val="00041292"/>
    <w:rsid w:val="000466BA"/>
    <w:rsid w:val="00050154"/>
    <w:rsid w:val="000544C2"/>
    <w:rsid w:val="00062DDD"/>
    <w:rsid w:val="000962DA"/>
    <w:rsid w:val="000A4649"/>
    <w:rsid w:val="000B5F4E"/>
    <w:rsid w:val="000B7D54"/>
    <w:rsid w:val="000C7146"/>
    <w:rsid w:val="000D251C"/>
    <w:rsid w:val="000D5233"/>
    <w:rsid w:val="000F005A"/>
    <w:rsid w:val="001231A0"/>
    <w:rsid w:val="00125605"/>
    <w:rsid w:val="001401F4"/>
    <w:rsid w:val="00141901"/>
    <w:rsid w:val="001562ED"/>
    <w:rsid w:val="00193388"/>
    <w:rsid w:val="001C4649"/>
    <w:rsid w:val="001D1D44"/>
    <w:rsid w:val="001E2764"/>
    <w:rsid w:val="001E6D4E"/>
    <w:rsid w:val="001E7ED0"/>
    <w:rsid w:val="001F4642"/>
    <w:rsid w:val="001F6A85"/>
    <w:rsid w:val="00210E93"/>
    <w:rsid w:val="00220FC6"/>
    <w:rsid w:val="00234693"/>
    <w:rsid w:val="00234C81"/>
    <w:rsid w:val="002448D1"/>
    <w:rsid w:val="00246F98"/>
    <w:rsid w:val="00264DA1"/>
    <w:rsid w:val="002777C0"/>
    <w:rsid w:val="0029449C"/>
    <w:rsid w:val="002C7B2B"/>
    <w:rsid w:val="002E7F25"/>
    <w:rsid w:val="002F017D"/>
    <w:rsid w:val="00345B6A"/>
    <w:rsid w:val="0034781F"/>
    <w:rsid w:val="00377DF3"/>
    <w:rsid w:val="003963BD"/>
    <w:rsid w:val="003C556A"/>
    <w:rsid w:val="003D653E"/>
    <w:rsid w:val="003E2797"/>
    <w:rsid w:val="00434AEE"/>
    <w:rsid w:val="0046436F"/>
    <w:rsid w:val="004643D0"/>
    <w:rsid w:val="00476427"/>
    <w:rsid w:val="00492421"/>
    <w:rsid w:val="004B2479"/>
    <w:rsid w:val="004D5A7F"/>
    <w:rsid w:val="005067C6"/>
    <w:rsid w:val="0051652F"/>
    <w:rsid w:val="00565359"/>
    <w:rsid w:val="00566B25"/>
    <w:rsid w:val="005812C1"/>
    <w:rsid w:val="00585B3B"/>
    <w:rsid w:val="005B04BA"/>
    <w:rsid w:val="005C7805"/>
    <w:rsid w:val="005E27AD"/>
    <w:rsid w:val="005F570C"/>
    <w:rsid w:val="006017C3"/>
    <w:rsid w:val="00611899"/>
    <w:rsid w:val="00643BE3"/>
    <w:rsid w:val="006512D3"/>
    <w:rsid w:val="0065350C"/>
    <w:rsid w:val="00680760"/>
    <w:rsid w:val="0068448F"/>
    <w:rsid w:val="006E28D1"/>
    <w:rsid w:val="006E33DD"/>
    <w:rsid w:val="006F0411"/>
    <w:rsid w:val="006F768F"/>
    <w:rsid w:val="00712553"/>
    <w:rsid w:val="007172A8"/>
    <w:rsid w:val="0074216D"/>
    <w:rsid w:val="00742D40"/>
    <w:rsid w:val="00745A71"/>
    <w:rsid w:val="007623E8"/>
    <w:rsid w:val="007A20B9"/>
    <w:rsid w:val="007A2FB8"/>
    <w:rsid w:val="007B5B8B"/>
    <w:rsid w:val="007C2FC6"/>
    <w:rsid w:val="007D126F"/>
    <w:rsid w:val="007E3FAA"/>
    <w:rsid w:val="007F0DC4"/>
    <w:rsid w:val="007F25BB"/>
    <w:rsid w:val="00806A82"/>
    <w:rsid w:val="00812D8A"/>
    <w:rsid w:val="00847ABC"/>
    <w:rsid w:val="00854FBC"/>
    <w:rsid w:val="00873545"/>
    <w:rsid w:val="008768F6"/>
    <w:rsid w:val="00882603"/>
    <w:rsid w:val="008A39E6"/>
    <w:rsid w:val="008F3979"/>
    <w:rsid w:val="008F50BE"/>
    <w:rsid w:val="00920CEF"/>
    <w:rsid w:val="0092733F"/>
    <w:rsid w:val="00947B10"/>
    <w:rsid w:val="009979F8"/>
    <w:rsid w:val="009A4EB5"/>
    <w:rsid w:val="009B641B"/>
    <w:rsid w:val="009C0B2C"/>
    <w:rsid w:val="009C7513"/>
    <w:rsid w:val="009F2EDF"/>
    <w:rsid w:val="00A00072"/>
    <w:rsid w:val="00A476AB"/>
    <w:rsid w:val="00A8194C"/>
    <w:rsid w:val="00A961D5"/>
    <w:rsid w:val="00AB1721"/>
    <w:rsid w:val="00AB65FA"/>
    <w:rsid w:val="00AC083F"/>
    <w:rsid w:val="00AE0398"/>
    <w:rsid w:val="00AE0B11"/>
    <w:rsid w:val="00AE1C6F"/>
    <w:rsid w:val="00AF0415"/>
    <w:rsid w:val="00B12163"/>
    <w:rsid w:val="00B12198"/>
    <w:rsid w:val="00B22392"/>
    <w:rsid w:val="00B36200"/>
    <w:rsid w:val="00B609C5"/>
    <w:rsid w:val="00B6185A"/>
    <w:rsid w:val="00B74242"/>
    <w:rsid w:val="00B934FD"/>
    <w:rsid w:val="00BA0D7E"/>
    <w:rsid w:val="00BA666B"/>
    <w:rsid w:val="00BB6917"/>
    <w:rsid w:val="00BB6C4D"/>
    <w:rsid w:val="00BD2177"/>
    <w:rsid w:val="00BD6C77"/>
    <w:rsid w:val="00C1421C"/>
    <w:rsid w:val="00C24317"/>
    <w:rsid w:val="00C24D6B"/>
    <w:rsid w:val="00C45FDD"/>
    <w:rsid w:val="00C81037"/>
    <w:rsid w:val="00C8419D"/>
    <w:rsid w:val="00CA722F"/>
    <w:rsid w:val="00CB3692"/>
    <w:rsid w:val="00CB5E40"/>
    <w:rsid w:val="00CD2DEC"/>
    <w:rsid w:val="00CD7A40"/>
    <w:rsid w:val="00CF5393"/>
    <w:rsid w:val="00D05373"/>
    <w:rsid w:val="00D10AFD"/>
    <w:rsid w:val="00D129C2"/>
    <w:rsid w:val="00D152B3"/>
    <w:rsid w:val="00D352EB"/>
    <w:rsid w:val="00D3713E"/>
    <w:rsid w:val="00D475A5"/>
    <w:rsid w:val="00D70965"/>
    <w:rsid w:val="00D73B33"/>
    <w:rsid w:val="00D86AE3"/>
    <w:rsid w:val="00D94573"/>
    <w:rsid w:val="00D95832"/>
    <w:rsid w:val="00DD049D"/>
    <w:rsid w:val="00DE3194"/>
    <w:rsid w:val="00E426F1"/>
    <w:rsid w:val="00E646C3"/>
    <w:rsid w:val="00E75BB4"/>
    <w:rsid w:val="00E76A7E"/>
    <w:rsid w:val="00EA357D"/>
    <w:rsid w:val="00EA6532"/>
    <w:rsid w:val="00EB1659"/>
    <w:rsid w:val="00EB48E4"/>
    <w:rsid w:val="00EC047E"/>
    <w:rsid w:val="00EC0D42"/>
    <w:rsid w:val="00EC6E4A"/>
    <w:rsid w:val="00EE2E00"/>
    <w:rsid w:val="00F369ED"/>
    <w:rsid w:val="00F627E1"/>
    <w:rsid w:val="00F65BB0"/>
    <w:rsid w:val="00F65E70"/>
    <w:rsid w:val="00F6782F"/>
    <w:rsid w:val="00F74016"/>
    <w:rsid w:val="00F85B9E"/>
    <w:rsid w:val="00F91BD2"/>
    <w:rsid w:val="00F97ED3"/>
    <w:rsid w:val="00FB55C9"/>
    <w:rsid w:val="00FC36AC"/>
    <w:rsid w:val="00FD38FA"/>
    <w:rsid w:val="00FD7999"/>
    <w:rsid w:val="00FF635D"/>
    <w:rsid w:val="01864155"/>
    <w:rsid w:val="048D1627"/>
    <w:rsid w:val="171506E6"/>
    <w:rsid w:val="323F5820"/>
    <w:rsid w:val="357F2C55"/>
    <w:rsid w:val="3A3D794D"/>
    <w:rsid w:val="480A0DBF"/>
    <w:rsid w:val="7706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0243"/>
  <w15:docId w15:val="{39119929-786E-41B4-BA6E-32A027FD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qFormat/>
    <w:rPr>
      <w:rFonts w:ascii="Arial" w:hAnsi="Arial" w:cs="Arial"/>
      <w:sz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Obinatablica1">
    <w:name w:val="Obična tablica1"/>
    <w:semiHidden/>
    <w:qFormat/>
    <w:pPr>
      <w:spacing w:after="160" w:line="256" w:lineRule="auto"/>
    </w:pPr>
    <w:rPr>
      <w:rFonts w:ascii="Calibri" w:hAnsi="Calibri" w:hint="eastAsia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Zadanifontodlomk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19</Pages>
  <Words>3724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PGŽ</Company>
  <LinksUpToDate>false</LinksUpToDate>
  <CharactersWithSpaces>24908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Romana Ćosić</cp:lastModifiedBy>
  <cp:revision>14</cp:revision>
  <cp:lastPrinted>2025-10-24T16:01:00Z</cp:lastPrinted>
  <dcterms:created xsi:type="dcterms:W3CDTF">2023-10-23T09:56:00Z</dcterms:created>
  <dcterms:modified xsi:type="dcterms:W3CDTF">2025-10-24T16:02:00Z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B63104B913FB47289595D7000BAFFEB4_13</vt:lpwstr>
  </property>
</Properties>
</file>